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4261F">
      <w:pPr>
        <w:rPr>
          <w:color w:val="auto"/>
          <w:highlight w:val="none"/>
        </w:rPr>
      </w:pPr>
    </w:p>
    <w:p w14:paraId="59FD39E0">
      <w:pPr>
        <w:rPr>
          <w:color w:val="auto"/>
          <w:highlight w:val="none"/>
        </w:rPr>
      </w:pPr>
    </w:p>
    <w:p w14:paraId="1BD4450C">
      <w:pPr>
        <w:pStyle w:val="236"/>
        <w:ind w:firstLine="0"/>
        <w:jc w:val="center"/>
        <w:rPr>
          <w:rFonts w:hint="eastAsia" w:ascii="宋体" w:hAnsi="宋体" w:eastAsia="宋体" w:cs="宋体"/>
          <w:color w:val="auto"/>
          <w:sz w:val="72"/>
          <w:szCs w:val="72"/>
          <w:highlight w:val="none"/>
        </w:rPr>
      </w:pPr>
      <w:r>
        <w:rPr>
          <w:rFonts w:hint="eastAsia" w:ascii="宋体" w:hAnsi="宋体" w:eastAsia="宋体" w:cs="宋体"/>
          <w:b/>
          <w:bCs/>
          <w:color w:val="auto"/>
          <w:spacing w:val="80"/>
          <w:sz w:val="72"/>
          <w:szCs w:val="72"/>
          <w:highlight w:val="none"/>
          <w:lang w:val="en-US" w:eastAsia="zh-CN"/>
        </w:rPr>
        <w:t>赣榆区</w:t>
      </w:r>
      <w:r>
        <w:rPr>
          <w:rFonts w:hint="eastAsia" w:ascii="宋体" w:hAnsi="宋体" w:eastAsia="宋体" w:cs="宋体"/>
          <w:b/>
          <w:bCs/>
          <w:color w:val="auto"/>
          <w:spacing w:val="80"/>
          <w:sz w:val="72"/>
          <w:szCs w:val="72"/>
          <w:highlight w:val="none"/>
        </w:rPr>
        <w:t>政府采购</w:t>
      </w:r>
    </w:p>
    <w:p w14:paraId="74939D39">
      <w:pPr>
        <w:pStyle w:val="236"/>
        <w:ind w:firstLine="0"/>
        <w:jc w:val="center"/>
        <w:rPr>
          <w:rFonts w:hint="eastAsia" w:ascii="宋体" w:hAnsi="宋体" w:eastAsia="宋体" w:cs="宋体"/>
          <w:b/>
          <w:color w:val="auto"/>
          <w:sz w:val="52"/>
          <w:szCs w:val="52"/>
          <w:highlight w:val="none"/>
        </w:rPr>
      </w:pPr>
    </w:p>
    <w:p w14:paraId="79278A17">
      <w:pPr>
        <w:pStyle w:val="236"/>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lang w:val="en-US" w:eastAsia="zh-CN"/>
        </w:rPr>
        <w:t>招标</w:t>
      </w:r>
      <w:r>
        <w:rPr>
          <w:rFonts w:hint="eastAsia" w:ascii="宋体" w:hAnsi="宋体" w:eastAsia="宋体" w:cs="宋体"/>
          <w:b/>
          <w:bCs/>
          <w:color w:val="auto"/>
          <w:sz w:val="72"/>
          <w:szCs w:val="72"/>
          <w:highlight w:val="none"/>
        </w:rPr>
        <w:t>文件</w:t>
      </w:r>
    </w:p>
    <w:p w14:paraId="5FA3FB22">
      <w:pPr>
        <w:pStyle w:val="236"/>
        <w:ind w:firstLine="0"/>
        <w:jc w:val="center"/>
        <w:rPr>
          <w:rFonts w:hint="eastAsia" w:ascii="宋体" w:hAnsi="宋体" w:eastAsia="宋体" w:cs="宋体"/>
          <w:b/>
          <w:bCs/>
          <w:color w:val="auto"/>
          <w:sz w:val="72"/>
          <w:szCs w:val="72"/>
          <w:highlight w:val="none"/>
        </w:rPr>
      </w:pPr>
    </w:p>
    <w:p w14:paraId="26FDD8A8">
      <w:pPr>
        <w:widowControl/>
        <w:shd w:val="clear" w:color="auto" w:fill="FFFFFF"/>
        <w:spacing w:before="150" w:after="150" w:line="390" w:lineRule="atLeast"/>
        <w:jc w:val="left"/>
        <w:rPr>
          <w:rFonts w:hint="eastAsia" w:ascii="宋体" w:hAnsi="宋体" w:cs="宋体"/>
          <w:b/>
          <w:bCs/>
          <w:color w:val="auto"/>
          <w:sz w:val="32"/>
          <w:highlight w:val="none"/>
          <w:lang w:eastAsia="zh-CN"/>
        </w:rPr>
      </w:pPr>
      <w:r>
        <w:rPr>
          <w:rFonts w:hint="eastAsia" w:ascii="宋体" w:hAnsi="宋体" w:eastAsia="宋体" w:cs="宋体"/>
          <w:b/>
          <w:bCs/>
          <w:color w:val="auto"/>
          <w:sz w:val="32"/>
          <w:highlight w:val="none"/>
        </w:rPr>
        <w:t>项目名称：</w:t>
      </w:r>
      <w:r>
        <w:rPr>
          <w:rFonts w:hint="eastAsia" w:ascii="宋体" w:hAnsi="宋体" w:cs="宋体"/>
          <w:b/>
          <w:bCs/>
          <w:color w:val="auto"/>
          <w:sz w:val="32"/>
          <w:highlight w:val="none"/>
          <w:lang w:eastAsia="zh-CN"/>
        </w:rPr>
        <w:t>赣榆区自然资源和规划局食堂餐饮服务项目</w:t>
      </w:r>
    </w:p>
    <w:p w14:paraId="03B58423">
      <w:pPr>
        <w:widowControl/>
        <w:shd w:val="clear" w:color="auto" w:fill="FFFFFF"/>
        <w:spacing w:before="150" w:after="150" w:line="390" w:lineRule="atLeast"/>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eastAsia="zh-CN"/>
        </w:rPr>
        <w:t>（专门面向中小企业）</w:t>
      </w:r>
    </w:p>
    <w:p w14:paraId="2CC35CDF">
      <w:pPr>
        <w:widowControl/>
        <w:shd w:val="clear" w:color="auto" w:fill="FFFFFF"/>
        <w:spacing w:before="150" w:after="150" w:line="390" w:lineRule="atLeast"/>
        <w:jc w:val="left"/>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项目编号：JSZC-320707-XZBM-G2026-0007</w:t>
      </w:r>
      <w:r>
        <w:rPr>
          <w:rFonts w:hint="eastAsia" w:ascii="宋体" w:hAnsi="宋体" w:eastAsia="宋体" w:cs="宋体"/>
          <w:b/>
          <w:bCs/>
          <w:color w:val="auto"/>
          <w:sz w:val="32"/>
          <w:highlight w:val="none"/>
        </w:rPr>
        <w:tab/>
      </w:r>
      <w:r>
        <w:rPr>
          <w:rFonts w:hint="eastAsia" w:ascii="宋体" w:hAnsi="宋体" w:eastAsia="宋体" w:cs="宋体"/>
          <w:b/>
          <w:bCs/>
          <w:color w:val="auto"/>
          <w:sz w:val="32"/>
          <w:highlight w:val="none"/>
          <w:lang w:val="en-US" w:eastAsia="zh-CN"/>
        </w:rPr>
        <w:t xml:space="preserve"> </w:t>
      </w:r>
    </w:p>
    <w:p w14:paraId="6D88E466">
      <w:pPr>
        <w:pStyle w:val="236"/>
        <w:ind w:firstLine="0"/>
        <w:jc w:val="center"/>
        <w:rPr>
          <w:rFonts w:hint="eastAsia" w:ascii="宋体" w:hAnsi="宋体" w:eastAsia="宋体" w:cs="宋体"/>
          <w:b/>
          <w:bCs/>
          <w:color w:val="auto"/>
          <w:sz w:val="32"/>
          <w:highlight w:val="none"/>
        </w:rPr>
      </w:pPr>
    </w:p>
    <w:p w14:paraId="28EEAD02">
      <w:pPr>
        <w:pStyle w:val="236"/>
        <w:ind w:firstLine="0"/>
        <w:jc w:val="center"/>
        <w:rPr>
          <w:rFonts w:hint="eastAsia" w:ascii="宋体" w:hAnsi="宋体" w:eastAsia="宋体" w:cs="宋体"/>
          <w:b/>
          <w:bCs/>
          <w:color w:val="auto"/>
          <w:sz w:val="32"/>
          <w:highlight w:val="none"/>
        </w:rPr>
      </w:pPr>
    </w:p>
    <w:p w14:paraId="6CF7E364">
      <w:pPr>
        <w:pStyle w:val="236"/>
        <w:ind w:firstLine="0"/>
        <w:jc w:val="center"/>
        <w:rPr>
          <w:rFonts w:hint="eastAsia" w:ascii="宋体" w:hAnsi="宋体" w:eastAsia="宋体" w:cs="宋体"/>
          <w:b/>
          <w:bCs/>
          <w:color w:val="auto"/>
          <w:sz w:val="32"/>
          <w:highlight w:val="none"/>
        </w:rPr>
      </w:pPr>
    </w:p>
    <w:p w14:paraId="36040C97">
      <w:pPr>
        <w:pStyle w:val="236"/>
        <w:ind w:firstLine="0"/>
        <w:jc w:val="center"/>
        <w:rPr>
          <w:rFonts w:hint="eastAsia" w:ascii="宋体" w:hAnsi="宋体" w:eastAsia="宋体" w:cs="宋体"/>
          <w:b/>
          <w:bCs/>
          <w:color w:val="auto"/>
          <w:sz w:val="32"/>
          <w:highlight w:val="none"/>
        </w:rPr>
      </w:pPr>
    </w:p>
    <w:p w14:paraId="76DED9DB">
      <w:pPr>
        <w:pStyle w:val="236"/>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采   购   人：连云港市赣榆区自然资源和规划局</w:t>
      </w:r>
    </w:p>
    <w:p w14:paraId="2CF68202">
      <w:pPr>
        <w:pStyle w:val="236"/>
        <w:rPr>
          <w:rFonts w:hint="default" w:ascii="宋体" w:hAnsi="宋体" w:eastAsia="宋体" w:cs="宋体"/>
          <w:bCs/>
          <w:color w:val="auto"/>
          <w:sz w:val="32"/>
          <w:highlight w:val="none"/>
          <w:lang w:val="en-US" w:eastAsia="zh-CN"/>
        </w:rPr>
      </w:pPr>
      <w:r>
        <w:rPr>
          <w:rFonts w:hint="eastAsia" w:ascii="宋体" w:hAnsi="宋体" w:eastAsia="宋体" w:cs="宋体"/>
          <w:bCs/>
          <w:color w:val="auto"/>
          <w:sz w:val="32"/>
          <w:highlight w:val="none"/>
        </w:rPr>
        <w:t>采购代理机构：</w:t>
      </w:r>
      <w:r>
        <w:rPr>
          <w:rFonts w:hint="eastAsia" w:ascii="宋体" w:hAnsi="宋体" w:cs="宋体"/>
          <w:bCs/>
          <w:color w:val="auto"/>
          <w:sz w:val="32"/>
          <w:highlight w:val="none"/>
          <w:lang w:eastAsia="zh-CN"/>
        </w:rPr>
        <w:t>江苏博茂项目管理有限公司</w:t>
      </w:r>
    </w:p>
    <w:p w14:paraId="476466AE">
      <w:pPr>
        <w:pStyle w:val="236"/>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202</w:t>
      </w:r>
      <w:r>
        <w:rPr>
          <w:rFonts w:hint="eastAsia" w:ascii="宋体" w:hAnsi="宋体" w:eastAsia="宋体" w:cs="宋体"/>
          <w:bCs/>
          <w:color w:val="auto"/>
          <w:sz w:val="32"/>
          <w:highlight w:val="none"/>
          <w:lang w:val="en-US" w:eastAsia="zh-CN"/>
        </w:rPr>
        <w:t>6</w:t>
      </w:r>
      <w:r>
        <w:rPr>
          <w:rFonts w:hint="eastAsia" w:ascii="宋体" w:hAnsi="宋体" w:eastAsia="宋体" w:cs="宋体"/>
          <w:bCs/>
          <w:color w:val="auto"/>
          <w:sz w:val="32"/>
          <w:highlight w:val="none"/>
        </w:rPr>
        <w:t>年</w:t>
      </w:r>
      <w:r>
        <w:rPr>
          <w:rFonts w:hint="eastAsia" w:ascii="宋体" w:hAnsi="宋体" w:cs="宋体"/>
          <w:bCs/>
          <w:color w:val="auto"/>
          <w:sz w:val="32"/>
          <w:highlight w:val="none"/>
          <w:lang w:val="en-US" w:eastAsia="zh-CN"/>
        </w:rPr>
        <w:t>05</w:t>
      </w:r>
      <w:r>
        <w:rPr>
          <w:rFonts w:hint="eastAsia" w:ascii="宋体" w:hAnsi="宋体" w:eastAsia="宋体" w:cs="宋体"/>
          <w:bCs/>
          <w:color w:val="auto"/>
          <w:sz w:val="32"/>
          <w:highlight w:val="none"/>
        </w:rPr>
        <w:t>月</w:t>
      </w:r>
    </w:p>
    <w:p w14:paraId="0B437956">
      <w:pPr>
        <w:spacing w:line="480" w:lineRule="auto"/>
        <w:jc w:val="center"/>
        <w:rPr>
          <w:rFonts w:ascii="黑体" w:hAnsi="Arial" w:eastAsia="黑体"/>
          <w:b/>
          <w:color w:val="auto"/>
          <w:sz w:val="44"/>
          <w:szCs w:val="21"/>
          <w:highlight w:val="none"/>
        </w:rPr>
      </w:pPr>
    </w:p>
    <w:p w14:paraId="1AB0502C">
      <w:pPr>
        <w:spacing w:before="120" w:after="120" w:line="360" w:lineRule="auto"/>
        <w:jc w:val="center"/>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623A4E13">
      <w:pPr>
        <w:pStyle w:val="185"/>
        <w:spacing w:before="156" w:after="156" w:line="360" w:lineRule="auto"/>
        <w:jc w:val="center"/>
        <w:rPr>
          <w:rFonts w:ascii="黑体" w:hAnsi="黑体" w:eastAsia="黑体"/>
          <w:b w:val="0"/>
          <w:color w:val="auto"/>
          <w:highlight w:val="none"/>
        </w:rPr>
      </w:pPr>
      <w:r>
        <w:rPr>
          <w:rFonts w:hint="eastAsia" w:ascii="黑体" w:hAnsi="黑体" w:eastAsia="黑体"/>
          <w:b w:val="0"/>
          <w:color w:val="auto"/>
          <w:highlight w:val="none"/>
        </w:rPr>
        <w:t>目  录</w:t>
      </w:r>
    </w:p>
    <w:p w14:paraId="714027C0">
      <w:pPr>
        <w:pStyle w:val="209"/>
        <w:tabs>
          <w:tab w:val="right" w:leader="dot" w:pos="8296"/>
        </w:tabs>
        <w:rPr>
          <w:color w:val="auto"/>
          <w:sz w:val="32"/>
          <w:highlight w:val="none"/>
        </w:rPr>
      </w:pPr>
      <w:r>
        <w:rPr>
          <w:rFonts w:hint="eastAsia" w:ascii="黑体" w:hAnsi="黑体" w:eastAsia="黑体"/>
          <w:color w:val="auto"/>
          <w:sz w:val="32"/>
          <w:highlight w:val="none"/>
        </w:rPr>
        <w:t>第一章</w:t>
      </w:r>
      <w:r>
        <w:rPr>
          <w:rFonts w:ascii="黑体" w:hAnsi="黑体" w:eastAsia="黑体"/>
          <w:color w:val="auto"/>
          <w:sz w:val="32"/>
          <w:highlight w:val="none"/>
        </w:rPr>
        <w:t xml:space="preserve">  </w:t>
      </w:r>
      <w:r>
        <w:rPr>
          <w:rFonts w:hint="eastAsia" w:ascii="黑体" w:hAnsi="黑体" w:eastAsia="黑体"/>
          <w:color w:val="auto"/>
          <w:sz w:val="32"/>
          <w:highlight w:val="none"/>
        </w:rPr>
        <w:t>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3</w:t>
      </w:r>
      <w:r>
        <w:rPr>
          <w:color w:val="auto"/>
          <w:sz w:val="32"/>
          <w:highlight w:val="none"/>
        </w:rPr>
        <w:fldChar w:fldCharType="end"/>
      </w:r>
    </w:p>
    <w:p w14:paraId="2954D29B">
      <w:pPr>
        <w:pStyle w:val="209"/>
        <w:tabs>
          <w:tab w:val="right" w:leader="dot" w:pos="8296"/>
        </w:tabs>
        <w:rPr>
          <w:color w:val="auto"/>
          <w:sz w:val="32"/>
          <w:highlight w:val="none"/>
        </w:rPr>
      </w:pPr>
      <w:r>
        <w:rPr>
          <w:rFonts w:hint="eastAsia" w:ascii="黑体" w:hAnsi="黑体" w:eastAsia="黑体"/>
          <w:color w:val="auto"/>
          <w:sz w:val="32"/>
          <w:highlight w:val="none"/>
        </w:rPr>
        <w:t>第二章</w:t>
      </w:r>
      <w:r>
        <w:rPr>
          <w:rFonts w:ascii="黑体" w:hAnsi="黑体" w:eastAsia="黑体"/>
          <w:color w:val="auto"/>
          <w:sz w:val="32"/>
          <w:highlight w:val="none"/>
        </w:rPr>
        <w:t xml:space="preserve">  </w:t>
      </w:r>
      <w:r>
        <w:rPr>
          <w:rFonts w:hint="eastAsia" w:ascii="黑体" w:hAnsi="黑体" w:eastAsia="黑体"/>
          <w:color w:val="auto"/>
          <w:sz w:val="32"/>
          <w:highlight w:val="none"/>
        </w:rPr>
        <w:t>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8</w:t>
      </w:r>
      <w:r>
        <w:rPr>
          <w:color w:val="auto"/>
          <w:sz w:val="32"/>
          <w:highlight w:val="none"/>
        </w:rPr>
        <w:fldChar w:fldCharType="end"/>
      </w:r>
    </w:p>
    <w:p w14:paraId="13B8D084">
      <w:pPr>
        <w:pStyle w:val="209"/>
        <w:tabs>
          <w:tab w:val="right" w:leader="dot" w:pos="8296"/>
        </w:tabs>
        <w:rPr>
          <w:color w:val="auto"/>
          <w:sz w:val="32"/>
          <w:highlight w:val="none"/>
        </w:rPr>
      </w:pPr>
      <w:r>
        <w:rPr>
          <w:rFonts w:hint="eastAsia" w:ascii="黑体" w:hAnsi="黑体" w:eastAsia="黑体"/>
          <w:color w:val="auto"/>
          <w:sz w:val="32"/>
          <w:highlight w:val="none"/>
        </w:rPr>
        <w:t>第三章</w:t>
      </w:r>
      <w:r>
        <w:rPr>
          <w:rFonts w:ascii="黑体" w:hAnsi="黑体" w:eastAsia="黑体"/>
          <w:color w:val="auto"/>
          <w:sz w:val="32"/>
          <w:highlight w:val="none"/>
        </w:rPr>
        <w:t xml:space="preserve">  </w:t>
      </w:r>
      <w:r>
        <w:rPr>
          <w:rFonts w:hint="eastAsia" w:ascii="黑体" w:hAnsi="黑体" w:eastAsia="黑体"/>
          <w:color w:val="auto"/>
          <w:sz w:val="32"/>
          <w:highlight w:val="none"/>
        </w:rPr>
        <w:t>合同文本</w:t>
      </w:r>
      <w:r>
        <w:rPr>
          <w:color w:val="auto"/>
          <w:sz w:val="32"/>
          <w:highlight w:val="none"/>
        </w:rPr>
        <w:tab/>
      </w:r>
      <w:r>
        <w:rPr>
          <w:color w:val="auto"/>
          <w:sz w:val="32"/>
          <w:highlight w:val="none"/>
        </w:rPr>
        <w:fldChar w:fldCharType="begin"/>
      </w:r>
      <w:r>
        <w:rPr>
          <w:color w:val="auto"/>
          <w:sz w:val="32"/>
          <w:highlight w:val="none"/>
        </w:rPr>
        <w:instrText xml:space="preserve"> PAGEREF _Toc155796358 \h </w:instrText>
      </w:r>
      <w:r>
        <w:rPr>
          <w:color w:val="auto"/>
          <w:sz w:val="32"/>
          <w:highlight w:val="none"/>
        </w:rPr>
        <w:fldChar w:fldCharType="separate"/>
      </w:r>
      <w:r>
        <w:rPr>
          <w:color w:val="auto"/>
          <w:sz w:val="32"/>
          <w:highlight w:val="none"/>
        </w:rPr>
        <w:t>22</w:t>
      </w:r>
      <w:r>
        <w:rPr>
          <w:color w:val="auto"/>
          <w:sz w:val="32"/>
          <w:highlight w:val="none"/>
        </w:rPr>
        <w:fldChar w:fldCharType="end"/>
      </w:r>
    </w:p>
    <w:p w14:paraId="3FD1BB6B">
      <w:pPr>
        <w:pStyle w:val="209"/>
        <w:tabs>
          <w:tab w:val="right" w:leader="dot" w:pos="8296"/>
        </w:tabs>
        <w:rPr>
          <w:rFonts w:hint="default" w:eastAsia="宋体"/>
          <w:color w:val="auto"/>
          <w:sz w:val="32"/>
          <w:highlight w:val="none"/>
          <w:lang w:val="en-US" w:eastAsia="zh-CN"/>
        </w:rPr>
      </w:pPr>
      <w:r>
        <w:rPr>
          <w:rFonts w:hint="eastAsia" w:ascii="黑体" w:hAnsi="黑体" w:eastAsia="黑体"/>
          <w:color w:val="auto"/>
          <w:sz w:val="32"/>
          <w:highlight w:val="none"/>
        </w:rPr>
        <w:t>第四章</w:t>
      </w:r>
      <w:r>
        <w:rPr>
          <w:rFonts w:ascii="黑体" w:hAnsi="黑体" w:eastAsia="黑体"/>
          <w:color w:val="auto"/>
          <w:sz w:val="32"/>
          <w:highlight w:val="none"/>
        </w:rPr>
        <w:t xml:space="preserve">  </w:t>
      </w:r>
      <w:r>
        <w:rPr>
          <w:rFonts w:hint="eastAsia" w:ascii="黑体" w:hAnsi="黑体" w:eastAsia="黑体"/>
          <w:color w:val="auto"/>
          <w:sz w:val="32"/>
          <w:highlight w:val="none"/>
        </w:rPr>
        <w:t>采购需求</w:t>
      </w:r>
      <w:r>
        <w:rPr>
          <w:color w:val="auto"/>
          <w:sz w:val="32"/>
          <w:highlight w:val="none"/>
        </w:rPr>
        <w:tab/>
      </w:r>
      <w:r>
        <w:rPr>
          <w:rFonts w:hint="eastAsia"/>
          <w:color w:val="auto"/>
          <w:sz w:val="32"/>
          <w:highlight w:val="none"/>
          <w:lang w:val="en-US" w:eastAsia="zh-CN"/>
        </w:rPr>
        <w:t>25</w:t>
      </w:r>
    </w:p>
    <w:p w14:paraId="4BCE15C8">
      <w:pPr>
        <w:pStyle w:val="209"/>
        <w:tabs>
          <w:tab w:val="right" w:leader="dot" w:pos="8296"/>
        </w:tabs>
        <w:rPr>
          <w:color w:val="auto"/>
          <w:sz w:val="32"/>
          <w:highlight w:val="none"/>
        </w:rPr>
      </w:pPr>
      <w:r>
        <w:rPr>
          <w:rFonts w:hint="eastAsia" w:ascii="黑体" w:hAnsi="黑体" w:eastAsia="黑体"/>
          <w:color w:val="auto"/>
          <w:sz w:val="32"/>
          <w:highlight w:val="none"/>
        </w:rPr>
        <w:t>第五章</w:t>
      </w:r>
      <w:r>
        <w:rPr>
          <w:rFonts w:ascii="黑体" w:hAnsi="黑体" w:eastAsia="黑体"/>
          <w:color w:val="auto"/>
          <w:sz w:val="32"/>
          <w:highlight w:val="none"/>
        </w:rPr>
        <w:t xml:space="preserve">  </w:t>
      </w:r>
      <w:r>
        <w:rPr>
          <w:rFonts w:hint="eastAsia" w:ascii="黑体" w:hAnsi="黑体" w:eastAsia="黑体"/>
          <w:color w:val="auto"/>
          <w:sz w:val="32"/>
          <w:highlight w:val="none"/>
        </w:rPr>
        <w:t>评标方法与评标标准</w:t>
      </w:r>
      <w:r>
        <w:rPr>
          <w:color w:val="auto"/>
          <w:sz w:val="32"/>
          <w:highlight w:val="none"/>
        </w:rPr>
        <w:tab/>
      </w:r>
      <w:r>
        <w:rPr>
          <w:color w:val="auto"/>
          <w:sz w:val="32"/>
          <w:highlight w:val="none"/>
        </w:rPr>
        <w:fldChar w:fldCharType="begin"/>
      </w:r>
      <w:r>
        <w:rPr>
          <w:color w:val="auto"/>
          <w:sz w:val="32"/>
          <w:highlight w:val="none"/>
        </w:rPr>
        <w:instrText xml:space="preserve"> PAGEREF _Toc155796360 \h </w:instrText>
      </w:r>
      <w:r>
        <w:rPr>
          <w:color w:val="auto"/>
          <w:sz w:val="32"/>
          <w:highlight w:val="none"/>
        </w:rPr>
        <w:fldChar w:fldCharType="separate"/>
      </w:r>
      <w:r>
        <w:rPr>
          <w:color w:val="auto"/>
          <w:sz w:val="32"/>
          <w:highlight w:val="none"/>
        </w:rPr>
        <w:t>46</w:t>
      </w:r>
      <w:r>
        <w:rPr>
          <w:color w:val="auto"/>
          <w:sz w:val="32"/>
          <w:highlight w:val="none"/>
        </w:rPr>
        <w:fldChar w:fldCharType="end"/>
      </w:r>
    </w:p>
    <w:p w14:paraId="19A09370">
      <w:pPr>
        <w:pStyle w:val="209"/>
        <w:tabs>
          <w:tab w:val="right" w:leader="dot" w:pos="8296"/>
        </w:tabs>
        <w:rPr>
          <w:color w:val="auto"/>
          <w:sz w:val="32"/>
          <w:highlight w:val="none"/>
        </w:rPr>
      </w:pPr>
      <w:r>
        <w:rPr>
          <w:rFonts w:hint="eastAsia" w:ascii="黑体" w:hAnsi="黑体" w:eastAsia="黑体"/>
          <w:color w:val="auto"/>
          <w:sz w:val="32"/>
          <w:highlight w:val="none"/>
        </w:rPr>
        <w:t>第六章</w:t>
      </w:r>
      <w:r>
        <w:rPr>
          <w:rFonts w:ascii="黑体" w:hAnsi="黑体" w:eastAsia="黑体"/>
          <w:color w:val="auto"/>
          <w:sz w:val="32"/>
          <w:highlight w:val="none"/>
        </w:rPr>
        <w:t xml:space="preserve">  </w:t>
      </w:r>
      <w:r>
        <w:rPr>
          <w:rFonts w:hint="eastAsia" w:ascii="黑体" w:hAnsi="黑体" w:eastAsia="黑体"/>
          <w:color w:val="auto"/>
          <w:sz w:val="32"/>
          <w:highlight w:val="none"/>
        </w:rPr>
        <w:t>投标文件格式</w:t>
      </w:r>
      <w:r>
        <w:rPr>
          <w:color w:val="auto"/>
          <w:sz w:val="32"/>
          <w:highlight w:val="none"/>
        </w:rPr>
        <w:tab/>
      </w:r>
      <w:r>
        <w:rPr>
          <w:color w:val="auto"/>
          <w:sz w:val="32"/>
          <w:highlight w:val="none"/>
        </w:rPr>
        <w:fldChar w:fldCharType="begin"/>
      </w:r>
      <w:r>
        <w:rPr>
          <w:color w:val="auto"/>
          <w:sz w:val="32"/>
          <w:highlight w:val="none"/>
        </w:rPr>
        <w:instrText xml:space="preserve"> PAGEREF _Toc155796361 \h </w:instrText>
      </w:r>
      <w:r>
        <w:rPr>
          <w:color w:val="auto"/>
          <w:sz w:val="32"/>
          <w:highlight w:val="none"/>
        </w:rPr>
        <w:fldChar w:fldCharType="separate"/>
      </w:r>
      <w:r>
        <w:rPr>
          <w:color w:val="auto"/>
          <w:sz w:val="32"/>
          <w:highlight w:val="none"/>
        </w:rPr>
        <w:t>49</w:t>
      </w:r>
      <w:r>
        <w:rPr>
          <w:color w:val="auto"/>
          <w:sz w:val="32"/>
          <w:highlight w:val="none"/>
        </w:rPr>
        <w:fldChar w:fldCharType="end"/>
      </w:r>
    </w:p>
    <w:p w14:paraId="76E7E976">
      <w:pPr>
        <w:widowControl/>
        <w:jc w:val="left"/>
        <w:rPr>
          <w:color w:val="auto"/>
          <w:highlight w:val="none"/>
        </w:rPr>
      </w:pPr>
      <w:r>
        <w:rPr>
          <w:color w:val="auto"/>
          <w:highlight w:val="none"/>
        </w:rPr>
        <w:fldChar w:fldCharType="end"/>
      </w:r>
      <w:r>
        <w:rPr>
          <w:color w:val="auto"/>
          <w:highlight w:val="none"/>
        </w:rPr>
        <w:br w:type="page" w:clear="all"/>
      </w:r>
    </w:p>
    <w:p w14:paraId="5A936342">
      <w:pPr>
        <w:pStyle w:val="185"/>
        <w:spacing w:before="0" w:after="0" w:line="240" w:lineRule="auto"/>
        <w:jc w:val="center"/>
        <w:rPr>
          <w:rFonts w:ascii="黑体" w:hAnsi="黑体" w:eastAsia="黑体"/>
          <w:b w:val="0"/>
          <w:color w:val="auto"/>
          <w:highlight w:val="none"/>
        </w:rPr>
      </w:pPr>
      <w:bookmarkStart w:id="0" w:name="_Toc155796356"/>
      <w:r>
        <w:rPr>
          <w:rFonts w:hint="eastAsia" w:ascii="黑体" w:hAnsi="黑体" w:eastAsia="黑体"/>
          <w:b w:val="0"/>
          <w:color w:val="auto"/>
          <w:highlight w:val="none"/>
        </w:rPr>
        <w:t>第一章  投标邀请</w:t>
      </w:r>
      <w:bookmarkEnd w:id="0"/>
    </w:p>
    <w:p w14:paraId="4E3101E7">
      <w:pPr>
        <w:spacing w:line="500" w:lineRule="exact"/>
        <w:ind w:firstLine="480"/>
        <w:jc w:val="left"/>
        <w:rPr>
          <w:color w:val="auto"/>
          <w:sz w:val="24"/>
          <w:szCs w:val="24"/>
          <w:highlight w:val="none"/>
        </w:rPr>
      </w:pPr>
      <w:r>
        <w:rPr>
          <w:rFonts w:hint="eastAsia"/>
          <w:color w:val="auto"/>
          <w:sz w:val="24"/>
          <w:szCs w:val="24"/>
          <w:highlight w:val="none"/>
        </w:rPr>
        <w:t>受</w:t>
      </w:r>
      <w:r>
        <w:rPr>
          <w:rFonts w:hint="eastAsia"/>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连云港市赣榆区自然资源和规划局</w:t>
      </w:r>
      <w:r>
        <w:rPr>
          <w:rFonts w:hint="eastAsia" w:ascii="宋体" w:hAnsi="宋体" w:cs="宋体"/>
          <w:color w:val="auto"/>
          <w:sz w:val="24"/>
          <w:szCs w:val="24"/>
          <w:highlight w:val="none"/>
          <w:u w:val="single"/>
          <w:lang w:val="en-US" w:eastAsia="zh-CN"/>
        </w:rPr>
        <w:t xml:space="preserve"> </w:t>
      </w:r>
      <w:r>
        <w:rPr>
          <w:rFonts w:hint="eastAsia"/>
          <w:color w:val="auto"/>
          <w:sz w:val="24"/>
          <w:szCs w:val="24"/>
          <w:highlight w:val="none"/>
        </w:rPr>
        <w:t>的委托，</w:t>
      </w:r>
      <w:r>
        <w:rPr>
          <w:rFonts w:hint="eastAsia"/>
          <w:color w:val="auto"/>
          <w:sz w:val="24"/>
          <w:szCs w:val="24"/>
          <w:highlight w:val="none"/>
          <w:u w:val="single"/>
          <w:lang w:val="en-US" w:eastAsia="zh-CN"/>
        </w:rPr>
        <w:t xml:space="preserve"> </w:t>
      </w:r>
      <w:r>
        <w:rPr>
          <w:rFonts w:hint="eastAsia"/>
          <w:color w:val="auto"/>
          <w:sz w:val="24"/>
          <w:szCs w:val="24"/>
          <w:highlight w:val="none"/>
          <w:u w:val="single"/>
          <w:lang w:eastAsia="zh-CN"/>
        </w:rPr>
        <w:t>江苏博茂项目管理有限公司</w:t>
      </w:r>
      <w:r>
        <w:rPr>
          <w:rFonts w:hint="eastAsia"/>
          <w:color w:val="auto"/>
          <w:sz w:val="24"/>
          <w:szCs w:val="24"/>
          <w:highlight w:val="none"/>
          <w:u w:val="single"/>
          <w:lang w:val="en-US" w:eastAsia="zh-CN"/>
        </w:rPr>
        <w:t xml:space="preserve"> </w:t>
      </w:r>
      <w:r>
        <w:rPr>
          <w:rFonts w:hint="eastAsia"/>
          <w:color w:val="auto"/>
          <w:sz w:val="24"/>
          <w:szCs w:val="24"/>
          <w:highlight w:val="none"/>
        </w:rPr>
        <w:t>就</w:t>
      </w:r>
      <w:r>
        <w:rPr>
          <w:rFonts w:hint="eastAsia"/>
          <w:color w:val="auto"/>
          <w:sz w:val="24"/>
          <w:szCs w:val="24"/>
          <w:highlight w:val="none"/>
          <w:u w:val="single"/>
          <w:lang w:eastAsia="zh-CN"/>
        </w:rPr>
        <w:t>赣榆区自然资源和规划局食堂餐饮服务项目（专门面向中小企业）</w:t>
      </w:r>
      <w:r>
        <w:rPr>
          <w:rFonts w:hint="eastAsia"/>
          <w:color w:val="auto"/>
          <w:sz w:val="24"/>
          <w:szCs w:val="24"/>
          <w:highlight w:val="none"/>
        </w:rPr>
        <w:t>（项目编号</w:t>
      </w:r>
      <w:r>
        <w:rPr>
          <w:rFonts w:hint="eastAsia"/>
          <w:color w:val="auto"/>
          <w:sz w:val="24"/>
          <w:szCs w:val="24"/>
          <w:highlight w:val="none"/>
          <w:lang w:eastAsia="zh-CN"/>
        </w:rPr>
        <w:t>：JSZC-320707-XZBM-G2026-0007</w:t>
      </w:r>
      <w:r>
        <w:rPr>
          <w:rFonts w:hint="eastAsia"/>
          <w:color w:val="auto"/>
          <w:sz w:val="24"/>
          <w:szCs w:val="24"/>
          <w:highlight w:val="none"/>
          <w:lang w:val="en-US" w:eastAsia="zh-CN"/>
        </w:rPr>
        <w:t xml:space="preserve"> </w:t>
      </w:r>
      <w:r>
        <w:rPr>
          <w:rFonts w:hint="eastAsia"/>
          <w:color w:val="auto"/>
          <w:sz w:val="24"/>
          <w:szCs w:val="24"/>
          <w:highlight w:val="none"/>
        </w:rPr>
        <w:t>）</w:t>
      </w:r>
      <w:r>
        <w:rPr>
          <w:rFonts w:hint="eastAsia"/>
          <w:color w:val="auto"/>
          <w:sz w:val="24"/>
          <w:szCs w:val="24"/>
          <w:highlight w:val="none"/>
        </w:rPr>
        <w:t>进行公开招标采购，欢迎符合条件的供应商投标。</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1BD9F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458594E">
            <w:pPr>
              <w:spacing w:line="500" w:lineRule="exact"/>
              <w:jc w:val="left"/>
              <w:rPr>
                <w:color w:val="auto"/>
                <w:sz w:val="24"/>
                <w:szCs w:val="24"/>
                <w:highlight w:val="none"/>
              </w:rPr>
            </w:pPr>
            <w:r>
              <w:rPr>
                <w:rFonts w:hint="eastAsia"/>
                <w:color w:val="auto"/>
                <w:sz w:val="24"/>
                <w:szCs w:val="24"/>
                <w:highlight w:val="none"/>
              </w:rPr>
              <w:t>项目概况</w:t>
            </w:r>
          </w:p>
          <w:p w14:paraId="6698E581">
            <w:pPr>
              <w:spacing w:line="500" w:lineRule="exact"/>
              <w:ind w:firstLine="480" w:firstLineChars="200"/>
              <w:jc w:val="left"/>
              <w:rPr>
                <w:color w:val="auto"/>
                <w:sz w:val="24"/>
                <w:szCs w:val="24"/>
                <w:highlight w:val="none"/>
              </w:rPr>
            </w:pPr>
            <w:r>
              <w:rPr>
                <w:rFonts w:hint="eastAsia"/>
                <w:color w:val="auto"/>
                <w:sz w:val="24"/>
                <w:szCs w:val="24"/>
                <w:highlight w:val="none"/>
                <w:u w:val="single"/>
                <w:lang w:eastAsia="zh-CN"/>
              </w:rPr>
              <w:t>赣榆区自然资源和规划局食堂餐饮服务项目（专门面向中小企业）</w:t>
            </w:r>
            <w:r>
              <w:rPr>
                <w:rFonts w:hint="eastAsia"/>
                <w:color w:val="auto"/>
                <w:sz w:val="24"/>
                <w:szCs w:val="24"/>
                <w:highlight w:val="none"/>
              </w:rPr>
              <w:t>的潜在投标人应在江苏政府采购网自行免费下载招标文件，并于202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06</w:t>
            </w:r>
            <w:r>
              <w:rPr>
                <w:rFonts w:hint="eastAsia"/>
                <w:color w:val="auto"/>
                <w:sz w:val="24"/>
                <w:szCs w:val="24"/>
                <w:highlight w:val="none"/>
              </w:rPr>
              <w:t>月</w:t>
            </w:r>
            <w:r>
              <w:rPr>
                <w:rFonts w:hint="eastAsia"/>
                <w:color w:val="auto"/>
                <w:sz w:val="24"/>
                <w:szCs w:val="24"/>
                <w:highlight w:val="none"/>
                <w:lang w:val="en-US" w:eastAsia="zh-CN"/>
              </w:rPr>
              <w:t>10</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0:00（北京时间）前递交（上传）投标文件。</w:t>
            </w:r>
          </w:p>
        </w:tc>
      </w:tr>
    </w:tbl>
    <w:p w14:paraId="6FBF3973">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一、项目基本情况</w:t>
      </w:r>
    </w:p>
    <w:p w14:paraId="7268AA83">
      <w:pPr>
        <w:pageBreakBefore w:val="0"/>
        <w:widowControl w:val="0"/>
        <w:kinsoku/>
        <w:wordWrap/>
        <w:overflowPunct/>
        <w:topLinePunct w:val="0"/>
        <w:autoSpaceDE/>
        <w:autoSpaceDN/>
        <w:bidi w:val="0"/>
        <w:adjustRightInd/>
        <w:snapToGrid/>
        <w:spacing w:line="450" w:lineRule="exact"/>
        <w:ind w:firstLine="480"/>
        <w:jc w:val="left"/>
        <w:textAlignment w:val="auto"/>
        <w:rPr>
          <w:rFonts w:hint="eastAsia"/>
          <w:color w:val="auto"/>
          <w:sz w:val="24"/>
          <w:szCs w:val="24"/>
          <w:highlight w:val="none"/>
          <w:lang w:val="en-US" w:eastAsia="zh-CN"/>
        </w:rPr>
      </w:pPr>
      <w:r>
        <w:rPr>
          <w:rFonts w:hint="eastAsia"/>
          <w:color w:val="auto"/>
          <w:sz w:val="24"/>
          <w:szCs w:val="24"/>
          <w:highlight w:val="none"/>
        </w:rPr>
        <w:t>项目编号：JSZC-320707-XZBM-G2026-0007</w:t>
      </w:r>
      <w:r>
        <w:rPr>
          <w:rFonts w:hint="eastAsia"/>
          <w:color w:val="auto"/>
          <w:sz w:val="24"/>
          <w:szCs w:val="24"/>
          <w:highlight w:val="none"/>
          <w:lang w:val="en-US" w:eastAsia="zh-CN"/>
        </w:rPr>
        <w:t xml:space="preserve"> </w:t>
      </w:r>
    </w:p>
    <w:p w14:paraId="2076FD19">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lang w:val="en-US"/>
        </w:rPr>
      </w:pPr>
      <w:r>
        <w:rPr>
          <w:rFonts w:hint="eastAsia"/>
          <w:color w:val="auto"/>
          <w:sz w:val="24"/>
          <w:szCs w:val="24"/>
          <w:highlight w:val="none"/>
        </w:rPr>
        <w:t>项目名称：</w:t>
      </w:r>
      <w:r>
        <w:rPr>
          <w:rFonts w:hint="eastAsia"/>
          <w:color w:val="auto"/>
          <w:sz w:val="24"/>
          <w:szCs w:val="24"/>
          <w:highlight w:val="none"/>
          <w:lang w:eastAsia="zh-CN"/>
        </w:rPr>
        <w:t>赣榆区自然资源和规划局食堂餐饮服务项目（专门面向中小企业）</w:t>
      </w:r>
    </w:p>
    <w:p w14:paraId="2D0DBC09">
      <w:pPr>
        <w:pageBreakBefore w:val="0"/>
        <w:widowControl w:val="0"/>
        <w:kinsoku/>
        <w:wordWrap/>
        <w:overflowPunct/>
        <w:topLinePunct w:val="0"/>
        <w:autoSpaceDE/>
        <w:autoSpaceDN/>
        <w:bidi w:val="0"/>
        <w:adjustRightInd/>
        <w:snapToGrid/>
        <w:spacing w:line="450" w:lineRule="exact"/>
        <w:ind w:firstLine="480"/>
        <w:jc w:val="left"/>
        <w:textAlignment w:val="auto"/>
        <w:rPr>
          <w:rFonts w:hint="eastAsia" w:eastAsia="宋体"/>
          <w:color w:val="auto"/>
          <w:sz w:val="24"/>
          <w:szCs w:val="24"/>
          <w:highlight w:val="none"/>
          <w:lang w:val="en-US" w:eastAsia="zh-CN"/>
        </w:rPr>
      </w:pPr>
      <w:r>
        <w:rPr>
          <w:rFonts w:hint="eastAsia"/>
          <w:color w:val="auto"/>
          <w:sz w:val="24"/>
          <w:szCs w:val="24"/>
          <w:highlight w:val="none"/>
        </w:rPr>
        <w:t>预算金额</w:t>
      </w:r>
      <w:r>
        <w:rPr>
          <w:rFonts w:hint="eastAsia"/>
          <w:color w:val="auto"/>
          <w:sz w:val="24"/>
          <w:szCs w:val="24"/>
          <w:highlight w:val="none"/>
          <w:lang w:eastAsia="zh-CN"/>
        </w:rPr>
        <w:t>：</w:t>
      </w:r>
      <w:r>
        <w:rPr>
          <w:rFonts w:hint="eastAsia"/>
          <w:color w:val="auto"/>
          <w:sz w:val="24"/>
          <w:szCs w:val="24"/>
          <w:highlight w:val="none"/>
          <w:lang w:val="en-US" w:eastAsia="zh-CN"/>
        </w:rPr>
        <w:t>360万元</w:t>
      </w:r>
      <w:r>
        <w:rPr>
          <w:rFonts w:ascii="宋体" w:hAnsi="宋体" w:eastAsia="宋体" w:cs="宋体"/>
          <w:color w:val="auto"/>
          <w:spacing w:val="-2"/>
          <w:sz w:val="24"/>
          <w:szCs w:val="24"/>
          <w:highlight w:val="none"/>
        </w:rPr>
        <w:t>（此预算金额为</w:t>
      </w:r>
      <w:r>
        <w:rPr>
          <w:rFonts w:hint="eastAsia" w:ascii="宋体" w:hAnsi="宋体" w:cs="宋体"/>
          <w:color w:val="auto"/>
          <w:spacing w:val="-2"/>
          <w:sz w:val="24"/>
          <w:szCs w:val="24"/>
          <w:highlight w:val="none"/>
          <w:lang w:val="en-US" w:eastAsia="zh-CN"/>
        </w:rPr>
        <w:t>两</w:t>
      </w:r>
      <w:r>
        <w:rPr>
          <w:rFonts w:ascii="宋体" w:hAnsi="宋体" w:eastAsia="宋体" w:cs="宋体"/>
          <w:color w:val="auto"/>
          <w:spacing w:val="-2"/>
          <w:sz w:val="24"/>
          <w:szCs w:val="24"/>
          <w:highlight w:val="none"/>
        </w:rPr>
        <w:t>年总预算金额，每年预算金额为</w:t>
      </w:r>
      <w:r>
        <w:rPr>
          <w:rFonts w:hint="eastAsia" w:ascii="宋体" w:hAnsi="宋体" w:cs="宋体"/>
          <w:color w:val="auto"/>
          <w:spacing w:val="-2"/>
          <w:sz w:val="24"/>
          <w:szCs w:val="24"/>
          <w:highlight w:val="none"/>
          <w:lang w:val="en-US" w:eastAsia="zh-CN"/>
        </w:rPr>
        <w:t>180</w:t>
      </w:r>
      <w:r>
        <w:rPr>
          <w:rFonts w:ascii="宋体" w:hAnsi="宋体" w:eastAsia="宋体" w:cs="宋体"/>
          <w:color w:val="auto"/>
          <w:spacing w:val="-2"/>
          <w:sz w:val="24"/>
          <w:szCs w:val="24"/>
          <w:highlight w:val="none"/>
        </w:rPr>
        <w:t>万元</w:t>
      </w:r>
      <w:r>
        <w:rPr>
          <w:rFonts w:ascii="宋体" w:hAnsi="宋体" w:eastAsia="宋体" w:cs="宋体"/>
          <w:color w:val="auto"/>
          <w:spacing w:val="3"/>
          <w:sz w:val="24"/>
          <w:szCs w:val="24"/>
          <w:highlight w:val="none"/>
        </w:rPr>
        <w:t>）</w:t>
      </w:r>
      <w:r>
        <w:rPr>
          <w:rFonts w:hint="eastAsia" w:ascii="宋体" w:hAnsi="宋体" w:cs="宋体"/>
          <w:color w:val="auto"/>
          <w:spacing w:val="3"/>
          <w:sz w:val="24"/>
          <w:szCs w:val="24"/>
          <w:highlight w:val="none"/>
          <w:lang w:eastAsia="zh-CN"/>
        </w:rPr>
        <w:t>。</w:t>
      </w:r>
    </w:p>
    <w:p w14:paraId="0A94A68F">
      <w:pPr>
        <w:pageBreakBefore w:val="0"/>
        <w:widowControl w:val="0"/>
        <w:kinsoku/>
        <w:wordWrap/>
        <w:overflowPunct/>
        <w:topLinePunct w:val="0"/>
        <w:autoSpaceDE/>
        <w:autoSpaceDN/>
        <w:bidi w:val="0"/>
        <w:adjustRightInd/>
        <w:snapToGrid/>
        <w:spacing w:line="450" w:lineRule="exact"/>
        <w:ind w:firstLine="480"/>
        <w:jc w:val="left"/>
        <w:textAlignment w:val="auto"/>
        <w:rPr>
          <w:rFonts w:ascii="宋体" w:hAnsi="宋体" w:cs="宋体"/>
          <w:b/>
          <w:bCs/>
          <w:color w:val="auto"/>
          <w:spacing w:val="-1"/>
          <w:sz w:val="24"/>
          <w:highlight w:val="none"/>
        </w:rPr>
      </w:pPr>
      <w:r>
        <w:rPr>
          <w:rFonts w:hint="eastAsia"/>
          <w:color w:val="auto"/>
          <w:sz w:val="24"/>
          <w:szCs w:val="24"/>
          <w:highlight w:val="none"/>
        </w:rPr>
        <w:t>最高限价：</w:t>
      </w:r>
      <w:r>
        <w:rPr>
          <w:rFonts w:hint="eastAsia"/>
          <w:color w:val="auto"/>
          <w:sz w:val="24"/>
          <w:szCs w:val="24"/>
          <w:highlight w:val="none"/>
          <w:lang w:val="en-US" w:eastAsia="zh-CN"/>
        </w:rPr>
        <w:t>360万元，</w:t>
      </w:r>
      <w:r>
        <w:rPr>
          <w:rFonts w:hint="eastAsia" w:ascii="宋体" w:hAnsi="宋体" w:cs="宋体"/>
          <w:b/>
          <w:bCs/>
          <w:color w:val="auto"/>
          <w:spacing w:val="-3"/>
          <w:sz w:val="24"/>
          <w:highlight w:val="none"/>
          <w:lang w:val="en-US" w:eastAsia="zh-CN"/>
        </w:rPr>
        <w:t>投标报价</w:t>
      </w:r>
      <w:r>
        <w:rPr>
          <w:rFonts w:hint="eastAsia" w:ascii="宋体" w:hAnsi="宋体" w:cs="宋体"/>
          <w:b/>
          <w:bCs/>
          <w:color w:val="auto"/>
          <w:spacing w:val="-3"/>
          <w:sz w:val="24"/>
          <w:highlight w:val="none"/>
        </w:rPr>
        <w:t>超过</w:t>
      </w:r>
      <w:r>
        <w:rPr>
          <w:rFonts w:hint="eastAsia" w:ascii="宋体" w:hAnsi="宋体" w:cs="宋体"/>
          <w:b/>
          <w:bCs/>
          <w:color w:val="auto"/>
          <w:spacing w:val="-3"/>
          <w:sz w:val="24"/>
          <w:highlight w:val="none"/>
          <w:lang w:val="en-US" w:eastAsia="zh-CN"/>
        </w:rPr>
        <w:t>最高限价的</w:t>
      </w:r>
      <w:r>
        <w:rPr>
          <w:rFonts w:hint="eastAsia" w:ascii="宋体" w:hAnsi="宋体" w:cs="宋体"/>
          <w:b/>
          <w:bCs/>
          <w:color w:val="auto"/>
          <w:spacing w:val="-1"/>
          <w:sz w:val="24"/>
          <w:highlight w:val="none"/>
        </w:rPr>
        <w:t>按无效响应处理。</w:t>
      </w:r>
    </w:p>
    <w:p w14:paraId="7FDE799A">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采购方式：公开招标</w:t>
      </w:r>
    </w:p>
    <w:p w14:paraId="28D23312">
      <w:pPr>
        <w:pageBreakBefore w:val="0"/>
        <w:widowControl w:val="0"/>
        <w:kinsoku/>
        <w:wordWrap/>
        <w:overflowPunct/>
        <w:topLinePunct w:val="0"/>
        <w:autoSpaceDE/>
        <w:autoSpaceDN/>
        <w:bidi w:val="0"/>
        <w:adjustRightInd/>
        <w:snapToGrid/>
        <w:spacing w:line="450" w:lineRule="exact"/>
        <w:ind w:firstLine="480"/>
        <w:jc w:val="left"/>
        <w:textAlignment w:val="auto"/>
        <w:rPr>
          <w:b w:val="0"/>
          <w:bCs w:val="0"/>
          <w:color w:val="auto"/>
          <w:sz w:val="24"/>
          <w:szCs w:val="24"/>
          <w:highlight w:val="none"/>
        </w:rPr>
      </w:pPr>
      <w:r>
        <w:rPr>
          <w:rFonts w:hint="eastAsia"/>
          <w:color w:val="auto"/>
          <w:sz w:val="24"/>
          <w:szCs w:val="24"/>
          <w:highlight w:val="none"/>
        </w:rPr>
        <w:t>采购需求：</w:t>
      </w:r>
      <w:r>
        <w:rPr>
          <w:rFonts w:ascii="宋体" w:hAnsi="宋体" w:eastAsia="宋体" w:cs="宋体"/>
          <w:color w:val="auto"/>
          <w:spacing w:val="-1"/>
          <w:sz w:val="24"/>
          <w:szCs w:val="24"/>
          <w:highlight w:val="none"/>
        </w:rPr>
        <w:t>进一步加强连云港市赣榆区自然资源和规划局局机关食堂规范化、精细化</w:t>
      </w:r>
      <w:r>
        <w:rPr>
          <w:rFonts w:ascii="宋体" w:hAnsi="宋体" w:eastAsia="宋体" w:cs="宋体"/>
          <w:color w:val="auto"/>
          <w:sz w:val="24"/>
          <w:szCs w:val="24"/>
          <w:highlight w:val="none"/>
        </w:rPr>
        <w:t>管理，改善服务质量，提高运营质效和就餐人员满意度，落</w:t>
      </w:r>
      <w:r>
        <w:rPr>
          <w:rFonts w:ascii="宋体" w:hAnsi="宋体" w:eastAsia="宋体" w:cs="宋体"/>
          <w:color w:val="auto"/>
          <w:spacing w:val="-1"/>
          <w:sz w:val="24"/>
          <w:szCs w:val="24"/>
          <w:highlight w:val="none"/>
        </w:rPr>
        <w:t>实厉行节约要求，保证职工餐</w:t>
      </w:r>
      <w:r>
        <w:rPr>
          <w:rFonts w:ascii="宋体" w:hAnsi="宋体" w:eastAsia="宋体" w:cs="宋体"/>
          <w:color w:val="auto"/>
          <w:sz w:val="24"/>
          <w:szCs w:val="24"/>
          <w:highlight w:val="none"/>
        </w:rPr>
        <w:t>食正点、足量、优质，做到饭菜品种多样、营养搭配均</w:t>
      </w:r>
      <w:r>
        <w:rPr>
          <w:rFonts w:ascii="宋体" w:hAnsi="宋体" w:eastAsia="宋体" w:cs="宋体"/>
          <w:color w:val="auto"/>
          <w:spacing w:val="-1"/>
          <w:sz w:val="24"/>
          <w:szCs w:val="24"/>
          <w:highlight w:val="none"/>
        </w:rPr>
        <w:t>衡，厨房和餐厅清洁与卫生。服务</w:t>
      </w:r>
      <w:r>
        <w:rPr>
          <w:rFonts w:ascii="宋体" w:hAnsi="宋体" w:eastAsia="宋体" w:cs="宋体"/>
          <w:color w:val="auto"/>
          <w:sz w:val="24"/>
          <w:szCs w:val="24"/>
          <w:highlight w:val="none"/>
        </w:rPr>
        <w:t>包括工作日内提供每日</w:t>
      </w:r>
      <w:r>
        <w:rPr>
          <w:rFonts w:hint="eastAsia" w:ascii="宋体" w:hAnsi="宋体" w:cs="宋体"/>
          <w:color w:val="auto"/>
          <w:sz w:val="24"/>
          <w:szCs w:val="24"/>
          <w:highlight w:val="none"/>
          <w:lang w:val="en-US" w:eastAsia="zh-CN"/>
        </w:rPr>
        <w:t>两</w:t>
      </w:r>
      <w:r>
        <w:rPr>
          <w:rFonts w:ascii="宋体" w:hAnsi="宋体" w:eastAsia="宋体" w:cs="宋体"/>
          <w:color w:val="auto"/>
          <w:sz w:val="24"/>
          <w:szCs w:val="24"/>
          <w:highlight w:val="none"/>
        </w:rPr>
        <w:t>餐及其他临时性餐饮服务</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食堂的保洁、就餐服务、餐</w:t>
      </w:r>
      <w:r>
        <w:rPr>
          <w:rFonts w:ascii="宋体" w:hAnsi="宋体" w:eastAsia="宋体" w:cs="宋体"/>
          <w:color w:val="auto"/>
          <w:spacing w:val="-1"/>
          <w:sz w:val="24"/>
          <w:szCs w:val="24"/>
          <w:highlight w:val="none"/>
        </w:rPr>
        <w:t>具日常清洗与消毒，食品卫生、水</w:t>
      </w:r>
      <w:r>
        <w:rPr>
          <w:rFonts w:ascii="宋体" w:hAnsi="宋体" w:eastAsia="宋体" w:cs="宋体"/>
          <w:color w:val="auto"/>
          <w:sz w:val="24"/>
          <w:szCs w:val="24"/>
          <w:highlight w:val="none"/>
        </w:rPr>
        <w:t>电气安全管理等及采购人交办的其他工作，具体详见招标</w:t>
      </w:r>
      <w:r>
        <w:rPr>
          <w:rFonts w:ascii="宋体" w:hAnsi="宋体" w:eastAsia="宋体" w:cs="宋体"/>
          <w:color w:val="auto"/>
          <w:spacing w:val="-1"/>
          <w:sz w:val="24"/>
          <w:szCs w:val="24"/>
          <w:highlight w:val="none"/>
        </w:rPr>
        <w:t>文件第四部分项目需求。</w:t>
      </w:r>
    </w:p>
    <w:p w14:paraId="5012DF87">
      <w:pPr>
        <w:pageBreakBefore w:val="0"/>
        <w:widowControl w:val="0"/>
        <w:kinsoku/>
        <w:wordWrap/>
        <w:overflowPunct/>
        <w:topLinePunct w:val="0"/>
        <w:autoSpaceDE/>
        <w:autoSpaceDN/>
        <w:bidi w:val="0"/>
        <w:adjustRightInd/>
        <w:snapToGrid/>
        <w:spacing w:line="450" w:lineRule="exact"/>
        <w:ind w:firstLine="482"/>
        <w:jc w:val="left"/>
        <w:textAlignment w:val="auto"/>
        <w:rPr>
          <w:b/>
          <w:color w:val="auto"/>
          <w:sz w:val="24"/>
          <w:szCs w:val="24"/>
          <w:highlight w:val="none"/>
        </w:rPr>
      </w:pPr>
      <w:r>
        <w:rPr>
          <w:rFonts w:hint="eastAsia"/>
          <w:b/>
          <w:color w:val="auto"/>
          <w:sz w:val="24"/>
          <w:szCs w:val="24"/>
          <w:highlight w:val="none"/>
        </w:rPr>
        <w:t>对本项目资格要求、采购需求、评标方法与评标标准等部分的询问、质疑请与采购人联系，由采购人负责答复。</w:t>
      </w:r>
    </w:p>
    <w:p w14:paraId="153CFA76">
      <w:pPr>
        <w:spacing w:before="184" w:line="360" w:lineRule="auto"/>
        <w:ind w:right="0" w:rightChars="0" w:firstLine="476" w:firstLineChars="20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合同履行期限：采购服务周期为</w:t>
      </w:r>
      <w:r>
        <w:rPr>
          <w:rFonts w:hint="eastAsia" w:ascii="宋体" w:hAnsi="宋体" w:cs="宋体"/>
          <w:color w:val="auto"/>
          <w:spacing w:val="-1"/>
          <w:sz w:val="24"/>
          <w:szCs w:val="24"/>
          <w:highlight w:val="none"/>
          <w:lang w:val="en-US" w:eastAsia="zh-CN"/>
        </w:rPr>
        <w:t>二</w:t>
      </w:r>
      <w:r>
        <w:rPr>
          <w:rFonts w:ascii="宋体" w:hAnsi="宋体" w:eastAsia="宋体" w:cs="宋体"/>
          <w:color w:val="auto"/>
          <w:spacing w:val="-1"/>
          <w:sz w:val="24"/>
          <w:szCs w:val="24"/>
          <w:highlight w:val="none"/>
        </w:rPr>
        <w:t>年，合同一年一签，服务周期内，中标人须与采购</w:t>
      </w:r>
      <w:r>
        <w:rPr>
          <w:rFonts w:ascii="宋体" w:hAnsi="宋体" w:eastAsia="宋体" w:cs="宋体"/>
          <w:color w:val="auto"/>
          <w:sz w:val="24"/>
          <w:szCs w:val="24"/>
          <w:highlight w:val="none"/>
        </w:rPr>
        <w:t>人签订第一年度合同，合同履行过程中，采购人将根据自身的相</w:t>
      </w:r>
      <w:r>
        <w:rPr>
          <w:rFonts w:ascii="宋体" w:hAnsi="宋体" w:eastAsia="宋体" w:cs="宋体"/>
          <w:color w:val="auto"/>
          <w:spacing w:val="-1"/>
          <w:sz w:val="24"/>
          <w:szCs w:val="24"/>
          <w:highlight w:val="none"/>
        </w:rPr>
        <w:t>关制度对中标人的服务开</w:t>
      </w:r>
      <w:r>
        <w:rPr>
          <w:rFonts w:ascii="宋体" w:hAnsi="宋体" w:eastAsia="宋体" w:cs="宋体"/>
          <w:color w:val="auto"/>
          <w:sz w:val="24"/>
          <w:szCs w:val="24"/>
          <w:highlight w:val="none"/>
        </w:rPr>
        <w:t>展年度审核，根据年度审核的结果，采购人将在年度合</w:t>
      </w:r>
      <w:r>
        <w:rPr>
          <w:rFonts w:ascii="宋体" w:hAnsi="宋体" w:eastAsia="宋体" w:cs="宋体"/>
          <w:color w:val="auto"/>
          <w:spacing w:val="-1"/>
          <w:sz w:val="24"/>
          <w:szCs w:val="24"/>
          <w:highlight w:val="none"/>
        </w:rPr>
        <w:t>同到期前通知中标人是否由其继续</w:t>
      </w:r>
      <w:r>
        <w:rPr>
          <w:rFonts w:ascii="宋体" w:hAnsi="宋体" w:eastAsia="宋体" w:cs="宋体"/>
          <w:color w:val="auto"/>
          <w:sz w:val="24"/>
          <w:szCs w:val="24"/>
          <w:highlight w:val="none"/>
        </w:rPr>
        <w:t>提供下一年度的服务，中标人对于采购人的决定无条件接受，如</w:t>
      </w:r>
      <w:r>
        <w:rPr>
          <w:rFonts w:ascii="宋体" w:hAnsi="宋体" w:eastAsia="宋体" w:cs="宋体"/>
          <w:color w:val="auto"/>
          <w:spacing w:val="-1"/>
          <w:sz w:val="24"/>
          <w:szCs w:val="24"/>
          <w:highlight w:val="none"/>
        </w:rPr>
        <w:t>由中标人继续提供服务，采购人将与中标人按照中标单价以及约定提供的服务内容继续签订下一年度合</w:t>
      </w:r>
      <w:r>
        <w:rPr>
          <w:rFonts w:ascii="宋体" w:hAnsi="宋体" w:eastAsia="宋体" w:cs="宋体"/>
          <w:color w:val="auto"/>
          <w:spacing w:val="-2"/>
          <w:sz w:val="24"/>
          <w:szCs w:val="24"/>
          <w:highlight w:val="none"/>
        </w:rPr>
        <w:t>同。</w:t>
      </w:r>
    </w:p>
    <w:p w14:paraId="1EFF2636">
      <w:pPr>
        <w:pageBreakBefore w:val="0"/>
        <w:widowControl w:val="0"/>
        <w:kinsoku/>
        <w:wordWrap/>
        <w:overflowPunct/>
        <w:topLinePunct w:val="0"/>
        <w:autoSpaceDE/>
        <w:autoSpaceDN/>
        <w:bidi w:val="0"/>
        <w:adjustRightInd/>
        <w:snapToGrid/>
        <w:spacing w:line="450" w:lineRule="exact"/>
        <w:jc w:val="left"/>
        <w:textAlignment w:val="auto"/>
        <w:rPr>
          <w:color w:val="auto"/>
          <w:sz w:val="24"/>
          <w:szCs w:val="24"/>
          <w:highlight w:val="none"/>
        </w:rPr>
      </w:pPr>
      <w:r>
        <w:rPr>
          <w:rFonts w:hint="eastAsia"/>
          <w:color w:val="auto"/>
          <w:sz w:val="24"/>
          <w:szCs w:val="24"/>
          <w:highlight w:val="none"/>
        </w:rPr>
        <w:t>本项目（是/否）接受联合体投标：不接受联合体</w:t>
      </w:r>
    </w:p>
    <w:p w14:paraId="0BB32A4D">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二、申请人的资格要求</w:t>
      </w:r>
    </w:p>
    <w:p w14:paraId="27155690">
      <w:pPr>
        <w:pageBreakBefore w:val="0"/>
        <w:kinsoku/>
        <w:wordWrap/>
        <w:overflowPunct/>
        <w:topLinePunct w:val="0"/>
        <w:autoSpaceDE/>
        <w:autoSpaceDN/>
        <w:bidi w:val="0"/>
        <w:adjustRightInd/>
        <w:snapToGrid/>
        <w:spacing w:line="450" w:lineRule="exact"/>
        <w:ind w:firstLine="480"/>
        <w:textAlignment w:val="auto"/>
        <w:rPr>
          <w:b/>
          <w:bCs/>
          <w:color w:val="auto"/>
          <w:sz w:val="24"/>
          <w:highlight w:val="none"/>
        </w:rPr>
      </w:pPr>
      <w:r>
        <w:rPr>
          <w:b/>
          <w:bCs/>
          <w:color w:val="auto"/>
          <w:sz w:val="24"/>
          <w:highlight w:val="none"/>
        </w:rPr>
        <w:t>（一）满足《中华人民共和国政府采购法》第二十二条规定，并提供下列材料：</w:t>
      </w:r>
    </w:p>
    <w:p w14:paraId="78A6ACD3">
      <w:pPr>
        <w:pageBreakBefore w:val="0"/>
        <w:kinsoku/>
        <w:wordWrap/>
        <w:overflowPunct/>
        <w:topLinePunct w:val="0"/>
        <w:autoSpaceDE/>
        <w:autoSpaceDN/>
        <w:bidi w:val="0"/>
        <w:adjustRightInd/>
        <w:snapToGrid/>
        <w:spacing w:line="450" w:lineRule="exact"/>
        <w:ind w:firstLine="480" w:firstLineChars="200"/>
        <w:textAlignment w:val="auto"/>
        <w:rPr>
          <w:rFonts w:hint="eastAsia" w:asciiTheme="minorEastAsia" w:hAnsiTheme="minorEastAsia"/>
          <w:color w:val="auto"/>
          <w:sz w:val="24"/>
          <w:highlight w:val="none"/>
        </w:rPr>
      </w:pPr>
      <w:r>
        <w:rPr>
          <w:rFonts w:hint="eastAsia" w:asciiTheme="minorEastAsia" w:hAnsiTheme="minorEastAsia"/>
          <w:color w:val="auto"/>
          <w:sz w:val="24"/>
          <w:highlight w:val="none"/>
        </w:rPr>
        <w:t>1.法人或者其他组织的营业执照等证明文件，自然人的身份证明；</w:t>
      </w:r>
    </w:p>
    <w:p w14:paraId="2D4104AD">
      <w:pPr>
        <w:pageBreakBefore w:val="0"/>
        <w:kinsoku/>
        <w:wordWrap/>
        <w:overflowPunct/>
        <w:topLinePunct w:val="0"/>
        <w:autoSpaceDE/>
        <w:autoSpaceDN/>
        <w:bidi w:val="0"/>
        <w:adjustRightInd/>
        <w:snapToGrid/>
        <w:spacing w:line="450" w:lineRule="exact"/>
        <w:ind w:firstLine="480" w:firstLineChars="200"/>
        <w:textAlignment w:val="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2.具有良好的商业信誉和健全的财务会计制度；（按连财购〔2023〕4号文件要求，符合要求的提交《财务状况报告及税收、社会保障资金缴纳情况承诺函》，并上传至电子响应文件中，格式详见采购文件）； </w:t>
      </w:r>
    </w:p>
    <w:p w14:paraId="325D3B96">
      <w:pPr>
        <w:pageBreakBefore w:val="0"/>
        <w:kinsoku/>
        <w:wordWrap/>
        <w:overflowPunct/>
        <w:topLinePunct w:val="0"/>
        <w:autoSpaceDE/>
        <w:autoSpaceDN/>
        <w:bidi w:val="0"/>
        <w:adjustRightInd/>
        <w:snapToGrid/>
        <w:spacing w:line="450" w:lineRule="exact"/>
        <w:ind w:firstLine="480" w:firstLineChars="200"/>
        <w:textAlignment w:val="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3.依法缴纳税收和社会保障资金的相关材料；（按连财购〔2023〕4号文件要求，符合要求的提交《财务状况报告及税收、社会保障资金缴纳情况承诺函》，并上传至电子响应文件中，格式详见采购文件）； </w:t>
      </w:r>
    </w:p>
    <w:p w14:paraId="3DC3C20F">
      <w:pPr>
        <w:pageBreakBefore w:val="0"/>
        <w:kinsoku/>
        <w:wordWrap/>
        <w:overflowPunct/>
        <w:topLinePunct w:val="0"/>
        <w:autoSpaceDE/>
        <w:autoSpaceDN/>
        <w:bidi w:val="0"/>
        <w:adjustRightInd/>
        <w:snapToGrid/>
        <w:spacing w:line="450" w:lineRule="exact"/>
        <w:ind w:firstLine="480" w:firstLineChars="200"/>
        <w:textAlignment w:val="auto"/>
        <w:rPr>
          <w:rFonts w:hint="eastAsia" w:asciiTheme="minorEastAsia" w:hAnsiTheme="minorEastAsia"/>
          <w:color w:val="auto"/>
          <w:sz w:val="24"/>
          <w:highlight w:val="none"/>
        </w:rPr>
      </w:pPr>
      <w:r>
        <w:rPr>
          <w:rFonts w:hint="eastAsia" w:asciiTheme="minorEastAsia" w:hAnsiTheme="minorEastAsia"/>
          <w:color w:val="auto"/>
          <w:sz w:val="24"/>
          <w:highlight w:val="none"/>
        </w:rPr>
        <w:t>4.具备履行合同所必需的设备和专业技术能力的声明及证明材料；</w:t>
      </w:r>
    </w:p>
    <w:p w14:paraId="19F887C0">
      <w:pPr>
        <w:pageBreakBefore w:val="0"/>
        <w:kinsoku/>
        <w:wordWrap/>
        <w:overflowPunct/>
        <w:topLinePunct w:val="0"/>
        <w:autoSpaceDE/>
        <w:autoSpaceDN/>
        <w:bidi w:val="0"/>
        <w:adjustRightInd/>
        <w:snapToGrid/>
        <w:spacing w:line="450" w:lineRule="exact"/>
        <w:ind w:firstLine="480" w:firstLineChars="200"/>
        <w:textAlignment w:val="auto"/>
        <w:rPr>
          <w:rFonts w:hint="eastAsia" w:asciiTheme="minorEastAsia" w:hAnsiTheme="minorEastAsia"/>
          <w:color w:val="auto"/>
          <w:sz w:val="24"/>
          <w:highlight w:val="none"/>
        </w:rPr>
      </w:pPr>
      <w:r>
        <w:rPr>
          <w:rFonts w:hint="eastAsia" w:asciiTheme="minorEastAsia" w:hAnsiTheme="minorEastAsia"/>
          <w:color w:val="auto"/>
          <w:sz w:val="24"/>
          <w:highlight w:val="none"/>
        </w:rPr>
        <w:t>5.参加政府采购活动前3年内在经营活动中没有重大违法记录的书面声明；</w:t>
      </w:r>
    </w:p>
    <w:p w14:paraId="3E9820D0">
      <w:pPr>
        <w:pageBreakBefore w:val="0"/>
        <w:kinsoku/>
        <w:wordWrap/>
        <w:overflowPunct/>
        <w:topLinePunct w:val="0"/>
        <w:autoSpaceDE/>
        <w:autoSpaceDN/>
        <w:bidi w:val="0"/>
        <w:adjustRightInd/>
        <w:snapToGrid/>
        <w:spacing w:line="450" w:lineRule="exact"/>
        <w:textAlignment w:val="auto"/>
        <w:rPr>
          <w:color w:val="auto"/>
          <w:sz w:val="24"/>
          <w:highlight w:val="none"/>
        </w:rPr>
      </w:pPr>
      <w:r>
        <w:rPr>
          <w:b/>
          <w:bCs/>
          <w:color w:val="auto"/>
          <w:sz w:val="24"/>
          <w:highlight w:val="none"/>
        </w:rPr>
        <w:t>（二）落实政府采购政策需满足的资格要求</w:t>
      </w:r>
      <w:r>
        <w:rPr>
          <w:color w:val="auto"/>
          <w:sz w:val="24"/>
          <w:highlight w:val="none"/>
        </w:rPr>
        <w:t>：</w:t>
      </w:r>
    </w:p>
    <w:p w14:paraId="6D2FACE4">
      <w:pPr>
        <w:pageBreakBefore w:val="0"/>
        <w:kinsoku/>
        <w:wordWrap/>
        <w:overflowPunct/>
        <w:topLinePunct w:val="0"/>
        <w:autoSpaceDE/>
        <w:autoSpaceDN/>
        <w:bidi w:val="0"/>
        <w:adjustRightInd/>
        <w:snapToGrid/>
        <w:spacing w:line="450" w:lineRule="exact"/>
        <w:ind w:firstLine="480" w:firstLineChars="200"/>
        <w:textAlignment w:val="auto"/>
        <w:rPr>
          <w:rFonts w:hint="eastAsia" w:asciiTheme="minorEastAsia" w:hAnsiTheme="minorEastAsia"/>
          <w:color w:val="auto"/>
          <w:sz w:val="24"/>
          <w:highlight w:val="none"/>
        </w:rPr>
      </w:pPr>
      <w:r>
        <w:rPr>
          <w:rFonts w:hint="eastAsia"/>
          <w:color w:val="auto"/>
          <w:sz w:val="24"/>
          <w:highlight w:val="none"/>
        </w:rPr>
        <w:t>1、</w:t>
      </w:r>
      <w:r>
        <w:rPr>
          <w:rFonts w:hint="eastAsia" w:asciiTheme="minorEastAsia" w:hAnsiTheme="minorEastAsia"/>
          <w:color w:val="auto"/>
          <w:sz w:val="24"/>
          <w:highlight w:val="none"/>
        </w:rPr>
        <w:t>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供《中小企业声明函》或《残疾人福利性单位声明函》或属于监狱企业的证明文件，详见采购文件。</w:t>
      </w:r>
    </w:p>
    <w:p w14:paraId="5908A528">
      <w:pPr>
        <w:pStyle w:val="29"/>
        <w:pageBreakBefore w:val="0"/>
        <w:widowControl w:val="0"/>
        <w:kinsoku/>
        <w:wordWrap/>
        <w:overflowPunct/>
        <w:topLinePunct w:val="0"/>
        <w:autoSpaceDE/>
        <w:autoSpaceDN/>
        <w:bidi w:val="0"/>
        <w:adjustRightInd/>
        <w:snapToGrid/>
        <w:spacing w:before="0" w:beforeAutospacing="0" w:after="0" w:afterAutospacing="0" w:line="450" w:lineRule="exact"/>
        <w:ind w:firstLine="480"/>
        <w:jc w:val="both"/>
        <w:textAlignment w:val="auto"/>
        <w:rPr>
          <w:rFonts w:hint="eastAsia"/>
          <w:color w:val="auto"/>
          <w:highlight w:val="none"/>
        </w:rPr>
      </w:pPr>
      <w:r>
        <w:rPr>
          <w:rFonts w:hint="eastAsia"/>
          <w:color w:val="auto"/>
          <w:highlight w:val="none"/>
        </w:rPr>
        <w:t>2</w:t>
      </w:r>
      <w:r>
        <w:rPr>
          <w:color w:val="auto"/>
          <w:highlight w:val="none"/>
        </w:rPr>
        <w:t>.支持绿色发展</w:t>
      </w:r>
    </w:p>
    <w:p w14:paraId="3BB4D2F6">
      <w:pPr>
        <w:pStyle w:val="29"/>
        <w:pageBreakBefore w:val="0"/>
        <w:widowControl w:val="0"/>
        <w:kinsoku/>
        <w:wordWrap/>
        <w:overflowPunct/>
        <w:topLinePunct w:val="0"/>
        <w:autoSpaceDE/>
        <w:autoSpaceDN/>
        <w:bidi w:val="0"/>
        <w:adjustRightInd/>
        <w:snapToGrid/>
        <w:spacing w:before="0" w:beforeAutospacing="0" w:after="0" w:afterAutospacing="0" w:line="450" w:lineRule="exact"/>
        <w:ind w:firstLine="480"/>
        <w:jc w:val="both"/>
        <w:textAlignment w:val="auto"/>
        <w:rPr>
          <w:rFonts w:hint="eastAsia"/>
          <w:color w:val="auto"/>
          <w:highlight w:val="none"/>
        </w:rPr>
      </w:pPr>
      <w:r>
        <w:rPr>
          <w:rFonts w:hint="eastAsia"/>
          <w:color w:val="auto"/>
          <w:highlight w:val="none"/>
        </w:rPr>
        <w:t>2</w:t>
      </w:r>
      <w:r>
        <w:rPr>
          <w:color w:val="auto"/>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auto"/>
          <w:highlight w:val="none"/>
        </w:rPr>
        <w:t>供应商须按</w:t>
      </w:r>
      <w:r>
        <w:rPr>
          <w:rFonts w:hint="eastAsia"/>
          <w:color w:val="auto"/>
          <w:highlight w:val="none"/>
          <w:lang w:val="en-US" w:eastAsia="zh-CN"/>
        </w:rPr>
        <w:t>招标</w:t>
      </w:r>
      <w:r>
        <w:rPr>
          <w:rFonts w:hint="eastAsia"/>
          <w:color w:val="auto"/>
          <w:highlight w:val="none"/>
        </w:rPr>
        <w:t>文件要求提供相关产品认证证书。</w:t>
      </w:r>
    </w:p>
    <w:p w14:paraId="230E02A2">
      <w:pPr>
        <w:pStyle w:val="29"/>
        <w:pageBreakBefore w:val="0"/>
        <w:widowControl w:val="0"/>
        <w:kinsoku/>
        <w:wordWrap/>
        <w:overflowPunct/>
        <w:topLinePunct w:val="0"/>
        <w:autoSpaceDE/>
        <w:autoSpaceDN/>
        <w:bidi w:val="0"/>
        <w:adjustRightInd/>
        <w:snapToGrid/>
        <w:spacing w:before="0" w:beforeAutospacing="0" w:after="0" w:afterAutospacing="0" w:line="450" w:lineRule="exact"/>
        <w:ind w:firstLine="480"/>
        <w:jc w:val="both"/>
        <w:textAlignment w:val="auto"/>
        <w:rPr>
          <w:rFonts w:hint="eastAsia"/>
          <w:color w:val="auto"/>
          <w:highlight w:val="none"/>
        </w:rPr>
      </w:pPr>
      <w:r>
        <w:rPr>
          <w:rFonts w:hint="eastAsia"/>
          <w:color w:val="auto"/>
          <w:highlight w:val="none"/>
        </w:rPr>
        <w:t>2</w:t>
      </w:r>
      <w:r>
        <w:rPr>
          <w:color w:val="auto"/>
          <w:highlight w:val="none"/>
        </w:rPr>
        <w:t>.2 为助力打好污染防治攻坚战，推广使用绿色包装，政府采购货物、工程和服务项目中涉及商品包装和快递包装的，</w:t>
      </w:r>
      <w:r>
        <w:rPr>
          <w:rFonts w:hint="eastAsia"/>
          <w:color w:val="auto"/>
          <w:highlight w:val="none"/>
        </w:rPr>
        <w:t>供应商</w:t>
      </w:r>
      <w:r>
        <w:rPr>
          <w:color w:val="auto"/>
          <w:highlight w:val="none"/>
        </w:rPr>
        <w:t>提供产品及相关快递服务的具体包装要求要参考《商品包装政府采购需求标准（试行）》、《快递包装政府采购需求标准（试行）》。</w:t>
      </w:r>
    </w:p>
    <w:p w14:paraId="6B87BD77">
      <w:pPr>
        <w:pStyle w:val="29"/>
        <w:pageBreakBefore w:val="0"/>
        <w:widowControl w:val="0"/>
        <w:kinsoku/>
        <w:wordWrap/>
        <w:overflowPunct/>
        <w:topLinePunct w:val="0"/>
        <w:autoSpaceDE/>
        <w:autoSpaceDN/>
        <w:bidi w:val="0"/>
        <w:adjustRightInd/>
        <w:snapToGrid/>
        <w:spacing w:before="0" w:beforeAutospacing="0" w:after="0" w:afterAutospacing="0" w:line="450" w:lineRule="exact"/>
        <w:ind w:firstLine="480"/>
        <w:jc w:val="both"/>
        <w:textAlignment w:val="auto"/>
        <w:rPr>
          <w:rFonts w:hint="eastAsia"/>
          <w:color w:val="auto"/>
          <w:highlight w:val="none"/>
        </w:rPr>
      </w:pPr>
      <w:r>
        <w:rPr>
          <w:rFonts w:hint="eastAsia"/>
          <w:color w:val="auto"/>
          <w:highlight w:val="none"/>
        </w:rPr>
        <w:t>2</w:t>
      </w:r>
      <w:r>
        <w:rPr>
          <w:color w:val="auto"/>
          <w:highlight w:val="none"/>
        </w:rPr>
        <w:t>.3政府采购项目执行《财政部生态环境部工业和信息化部关于印发&lt;绿色数据中心政府采购需求标准（试行)&gt;的通知》(财库〔2023〕7号）相关要求。</w:t>
      </w:r>
    </w:p>
    <w:p w14:paraId="2B23340E">
      <w:pPr>
        <w:pStyle w:val="29"/>
        <w:pageBreakBefore w:val="0"/>
        <w:widowControl w:val="0"/>
        <w:kinsoku/>
        <w:wordWrap/>
        <w:overflowPunct/>
        <w:topLinePunct w:val="0"/>
        <w:autoSpaceDE/>
        <w:autoSpaceDN/>
        <w:bidi w:val="0"/>
        <w:adjustRightInd/>
        <w:snapToGrid/>
        <w:spacing w:before="0" w:beforeAutospacing="0" w:after="0" w:afterAutospacing="0" w:line="450" w:lineRule="exact"/>
        <w:ind w:firstLine="480"/>
        <w:jc w:val="both"/>
        <w:textAlignment w:val="auto"/>
        <w:rPr>
          <w:color w:val="auto"/>
          <w:highlight w:val="none"/>
        </w:rPr>
      </w:pPr>
      <w:r>
        <w:rPr>
          <w:rFonts w:hint="eastAsia"/>
          <w:color w:val="auto"/>
          <w:highlight w:val="none"/>
        </w:rPr>
        <w:t>2</w:t>
      </w:r>
      <w:r>
        <w:rPr>
          <w:color w:val="auto"/>
          <w:highlight w:val="none"/>
        </w:rPr>
        <w:t>.4落实挥发性有机化合物（VOCs）治理要求，政府采购项目中涉及涂料、胶黏剂、油墨、清洗剂等挥发性有机物产品的，属于强制性标准的，</w:t>
      </w:r>
      <w:r>
        <w:rPr>
          <w:rFonts w:hint="eastAsia"/>
          <w:color w:val="auto"/>
          <w:highlight w:val="none"/>
        </w:rPr>
        <w:t>供应商</w:t>
      </w:r>
      <w:r>
        <w:rPr>
          <w:color w:val="auto"/>
          <w:highlight w:val="none"/>
        </w:rPr>
        <w:t>须执行国家和我省 VOCs含量限制标准；</w:t>
      </w:r>
      <w:r>
        <w:rPr>
          <w:rFonts w:hint="eastAsia"/>
          <w:color w:val="auto"/>
          <w:highlight w:val="none"/>
        </w:rPr>
        <w:t>供应商</w:t>
      </w:r>
      <w:r>
        <w:rPr>
          <w:color w:val="auto"/>
          <w:highlight w:val="none"/>
        </w:rPr>
        <w:t>优先使用低挥发性原辅材料，将使用低 VOCs 含量的涂料、胶黏剂等纳入政府采购合同条款。</w:t>
      </w:r>
    </w:p>
    <w:p w14:paraId="2FBD9D7D">
      <w:pPr>
        <w:pStyle w:val="29"/>
        <w:pageBreakBefore w:val="0"/>
        <w:widowControl w:val="0"/>
        <w:kinsoku/>
        <w:wordWrap/>
        <w:overflowPunct/>
        <w:topLinePunct w:val="0"/>
        <w:autoSpaceDE/>
        <w:autoSpaceDN/>
        <w:bidi w:val="0"/>
        <w:adjustRightInd/>
        <w:snapToGrid/>
        <w:spacing w:before="0" w:beforeAutospacing="0" w:after="0" w:afterAutospacing="0" w:line="450" w:lineRule="exact"/>
        <w:ind w:firstLine="480"/>
        <w:jc w:val="both"/>
        <w:textAlignment w:val="auto"/>
        <w:rPr>
          <w:rFonts w:hint="eastAsia"/>
          <w:color w:val="auto"/>
          <w:highlight w:val="none"/>
        </w:rPr>
      </w:pPr>
      <w:r>
        <w:rPr>
          <w:rFonts w:hint="eastAsia"/>
          <w:color w:val="auto"/>
          <w:highlight w:val="none"/>
        </w:rPr>
        <w:t>3.采购本国产品的支持政策</w:t>
      </w:r>
    </w:p>
    <w:p w14:paraId="76DB26D4">
      <w:pPr>
        <w:pStyle w:val="29"/>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color w:val="auto"/>
          <w:highlight w:val="none"/>
        </w:rPr>
      </w:pPr>
      <w:r>
        <w:rPr>
          <w:rFonts w:hint="eastAsia"/>
          <w:color w:val="auto"/>
          <w:highlight w:val="none"/>
        </w:rPr>
        <w:t>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000B4DAE">
      <w:pPr>
        <w:pStyle w:val="29"/>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AFA8D1">
      <w:pPr>
        <w:pStyle w:val="29"/>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color w:val="auto"/>
          <w:highlight w:val="none"/>
        </w:rPr>
      </w:pPr>
      <w:r>
        <w:rPr>
          <w:rFonts w:hint="eastAsia" w:ascii="Times New Roman" w:hAnsi="Times New Roman" w:cs="Times New Roman"/>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4880FBA">
      <w:pPr>
        <w:keepNext/>
        <w:keepLines w:val="0"/>
        <w:pageBreakBefore w:val="0"/>
        <w:widowControl/>
        <w:numPr>
          <w:ilvl w:val="0"/>
          <w:numId w:val="1"/>
        </w:numPr>
        <w:spacing w:line="560" w:lineRule="exact"/>
        <w:ind w:right="0"/>
        <w:jc w:val="left"/>
        <w:outlineLvl w:val="9"/>
        <w:rPr>
          <w:rFonts w:hint="eastAsia" w:ascii="宋体" w:hAnsi="宋体" w:eastAsia="宋体" w:cs="宋体"/>
          <w:b/>
          <w:bCs/>
          <w:color w:val="auto"/>
          <w:spacing w:val="-1"/>
          <w:sz w:val="24"/>
          <w:szCs w:val="24"/>
          <w:highlight w:val="none"/>
          <w:lang w:eastAsia="zh-CN"/>
        </w:rPr>
      </w:pPr>
      <w:r>
        <w:rPr>
          <w:rFonts w:hint="eastAsia" w:ascii="Calibri" w:hAnsi="Calibri" w:eastAsia="宋体" w:cs="Times New Roman"/>
          <w:b/>
          <w:bCs/>
          <w:color w:val="auto"/>
          <w:sz w:val="24"/>
          <w:szCs w:val="22"/>
          <w:highlight w:val="none"/>
          <w:lang w:val="en-US" w:eastAsia="zh-CN" w:bidi="ar-SA"/>
        </w:rPr>
        <w:t>本项目的特定资格要求：</w:t>
      </w:r>
    </w:p>
    <w:p w14:paraId="54867703">
      <w:pPr>
        <w:keepNext/>
        <w:keepLines w:val="0"/>
        <w:pageBreakBefore w:val="0"/>
        <w:widowControl/>
        <w:numPr>
          <w:ilvl w:val="0"/>
          <w:numId w:val="0"/>
        </w:numPr>
        <w:spacing w:line="560" w:lineRule="exact"/>
        <w:ind w:right="0" w:rightChars="0" w:firstLine="241" w:firstLineChars="100"/>
        <w:jc w:val="left"/>
        <w:outlineLvl w:val="9"/>
        <w:rPr>
          <w:rFonts w:hint="eastAsia" w:ascii="宋体" w:hAnsi="宋体" w:eastAsia="宋体" w:cs="宋体"/>
          <w:b/>
          <w:bCs/>
          <w:color w:val="auto"/>
          <w:spacing w:val="-1"/>
          <w:sz w:val="24"/>
          <w:szCs w:val="24"/>
          <w:highlight w:val="none"/>
          <w:lang w:eastAsia="zh-CN"/>
        </w:rPr>
      </w:pPr>
      <w:r>
        <w:rPr>
          <w:rFonts w:hint="eastAsia" w:ascii="Calibri" w:hAnsi="Calibri" w:cs="Times New Roman"/>
          <w:b/>
          <w:bCs/>
          <w:color w:val="auto"/>
          <w:sz w:val="24"/>
          <w:szCs w:val="22"/>
          <w:highlight w:val="none"/>
          <w:lang w:val="en-US" w:eastAsia="zh-CN" w:bidi="ar-SA"/>
        </w:rPr>
        <w:t>1、</w:t>
      </w:r>
      <w:r>
        <w:rPr>
          <w:rFonts w:ascii="宋体" w:hAnsi="宋体" w:eastAsia="宋体" w:cs="宋体"/>
          <w:b/>
          <w:bCs/>
          <w:color w:val="auto"/>
          <w:spacing w:val="-1"/>
          <w:sz w:val="24"/>
          <w:szCs w:val="24"/>
          <w:highlight w:val="none"/>
        </w:rPr>
        <w:t>投标人具有</w:t>
      </w:r>
      <w:r>
        <w:rPr>
          <w:rFonts w:hint="eastAsia" w:ascii="宋体" w:hAnsi="宋体" w:eastAsia="宋体" w:cs="宋体"/>
          <w:b/>
          <w:bCs/>
          <w:color w:val="auto"/>
          <w:spacing w:val="-1"/>
          <w:sz w:val="24"/>
          <w:szCs w:val="24"/>
          <w:highlight w:val="none"/>
          <w:lang w:val="en-US" w:eastAsia="zh-CN"/>
        </w:rPr>
        <w:t>有效的</w:t>
      </w:r>
      <w:r>
        <w:rPr>
          <w:rFonts w:ascii="宋体" w:hAnsi="宋体" w:eastAsia="宋体" w:cs="宋体"/>
          <w:b/>
          <w:bCs/>
          <w:color w:val="auto"/>
          <w:spacing w:val="-1"/>
          <w:sz w:val="24"/>
          <w:szCs w:val="24"/>
          <w:highlight w:val="none"/>
        </w:rPr>
        <w:t>《食品经营许可证》</w:t>
      </w:r>
      <w:r>
        <w:rPr>
          <w:rFonts w:hint="eastAsia" w:ascii="宋体" w:hAnsi="宋体" w:eastAsia="宋体" w:cs="宋体"/>
          <w:b/>
          <w:bCs/>
          <w:color w:val="auto"/>
          <w:spacing w:val="-1"/>
          <w:sz w:val="24"/>
          <w:szCs w:val="24"/>
          <w:highlight w:val="none"/>
          <w:lang w:eastAsia="zh-CN"/>
        </w:rPr>
        <w:t>。</w:t>
      </w:r>
    </w:p>
    <w:p w14:paraId="0EC872B6">
      <w:pPr>
        <w:keepNext/>
        <w:keepLines w:val="0"/>
        <w:pageBreakBefore w:val="0"/>
        <w:widowControl/>
        <w:numPr>
          <w:ilvl w:val="0"/>
          <w:numId w:val="0"/>
        </w:numPr>
        <w:spacing w:line="560" w:lineRule="exact"/>
        <w:ind w:right="0" w:rightChars="0"/>
        <w:jc w:val="left"/>
        <w:outlineLvl w:val="9"/>
        <w:rPr>
          <w:rFonts w:hint="default" w:ascii="宋体" w:hAnsi="宋体" w:eastAsia="宋体" w:cs="宋体"/>
          <w:b/>
          <w:bCs/>
          <w:color w:val="auto"/>
          <w:spacing w:val="-1"/>
          <w:sz w:val="24"/>
          <w:szCs w:val="24"/>
          <w:highlight w:val="none"/>
          <w:lang w:val="en-US" w:eastAsia="zh-CN"/>
        </w:rPr>
      </w:pPr>
      <w:r>
        <w:rPr>
          <w:rFonts w:hint="eastAsia" w:ascii="宋体" w:hAnsi="宋体" w:cs="宋体"/>
          <w:b/>
          <w:bCs/>
          <w:color w:val="auto"/>
          <w:spacing w:val="-1"/>
          <w:sz w:val="24"/>
          <w:szCs w:val="24"/>
          <w:highlight w:val="none"/>
          <w:lang w:val="en-US" w:eastAsia="zh-CN"/>
        </w:rPr>
        <w:t xml:space="preserve"> </w:t>
      </w:r>
      <w:r>
        <w:rPr>
          <w:rFonts w:hint="eastAsia" w:ascii="宋体" w:hAnsi="宋体" w:eastAsia="宋体" w:cs="宋体"/>
          <w:b/>
          <w:bCs/>
          <w:color w:val="auto"/>
          <w:spacing w:val="-1"/>
          <w:sz w:val="24"/>
          <w:szCs w:val="24"/>
          <w:highlight w:val="none"/>
          <w:lang w:val="en-US" w:eastAsia="zh-CN"/>
        </w:rPr>
        <w:t>2、</w:t>
      </w:r>
      <w:r>
        <w:rPr>
          <w:rFonts w:hint="eastAsia" w:ascii="宋体" w:hAnsi="宋体" w:eastAsia="宋体" w:cs="宋体"/>
          <w:b/>
          <w:bCs/>
          <w:color w:val="auto"/>
          <w:spacing w:val="-1"/>
          <w:sz w:val="24"/>
          <w:szCs w:val="24"/>
          <w:highlight w:val="none"/>
        </w:rPr>
        <w:t>供应商/投标主体及其法定代表人、项目负责人未被列入“连云港市赣榆区行贿人联合惩戒信息库。” 备注：响应文件不需提供证明材料，评标时采购人通过赣榆区行贿人联合惩戒信息库，对供应商/投标主体情况进行内部查询，查询结果页面打印留存。</w:t>
      </w:r>
    </w:p>
    <w:p w14:paraId="69195F5A">
      <w:pPr>
        <w:keepNext w:val="0"/>
        <w:keepLines w:val="0"/>
        <w:pageBreakBefore w:val="0"/>
        <w:widowControl w:val="0"/>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Times New Roman"/>
          <w:b/>
          <w:bCs/>
          <w:color w:val="auto"/>
          <w:sz w:val="24"/>
          <w:highlight w:val="none"/>
        </w:rPr>
      </w:pPr>
      <w:r>
        <w:rPr>
          <w:rFonts w:hint="eastAsia" w:ascii="Calibri" w:hAnsi="Calibri" w:eastAsia="宋体" w:cs="Times New Roman"/>
          <w:b/>
          <w:bCs/>
          <w:color w:val="auto"/>
          <w:sz w:val="24"/>
          <w:szCs w:val="22"/>
          <w:highlight w:val="none"/>
          <w:lang w:val="en-US" w:eastAsia="zh-CN" w:bidi="ar-SA"/>
        </w:rPr>
        <w:t>（</w:t>
      </w:r>
      <w:r>
        <w:rPr>
          <w:rFonts w:hint="eastAsia" w:eastAsia="宋体" w:cs="Times New Roman"/>
          <w:b/>
          <w:bCs/>
          <w:color w:val="auto"/>
          <w:sz w:val="24"/>
          <w:szCs w:val="22"/>
          <w:highlight w:val="none"/>
          <w:lang w:val="en-US" w:eastAsia="zh-CN" w:bidi="ar-SA"/>
        </w:rPr>
        <w:t>四</w:t>
      </w:r>
      <w:r>
        <w:rPr>
          <w:rFonts w:hint="eastAsia" w:ascii="Calibri" w:hAnsi="Calibri" w:eastAsia="宋体" w:cs="Times New Roman"/>
          <w:b/>
          <w:bCs/>
          <w:color w:val="auto"/>
          <w:sz w:val="24"/>
          <w:szCs w:val="22"/>
          <w:highlight w:val="none"/>
          <w:lang w:val="en-US" w:eastAsia="zh-CN" w:bidi="ar-SA"/>
        </w:rPr>
        <w:t>）</w:t>
      </w:r>
      <w:r>
        <w:rPr>
          <w:rFonts w:hint="eastAsia" w:ascii="宋体" w:hAnsi="宋体" w:eastAsia="宋体" w:cs="Times New Roman"/>
          <w:b/>
          <w:bCs/>
          <w:color w:val="auto"/>
          <w:sz w:val="24"/>
          <w:highlight w:val="none"/>
        </w:rPr>
        <w:t>本项目的其他资格要求：</w:t>
      </w:r>
    </w:p>
    <w:p w14:paraId="691CAF46">
      <w:pPr>
        <w:keepNext w:val="0"/>
        <w:keepLines w:val="0"/>
        <w:pageBreakBefore w:val="0"/>
        <w:widowControl w:val="0"/>
        <w:kinsoku/>
        <w:wordWrap/>
        <w:overflowPunct/>
        <w:topLinePunct w:val="0"/>
        <w:autoSpaceDE/>
        <w:autoSpaceDN/>
        <w:bidi w:val="0"/>
        <w:adjustRightInd/>
        <w:snapToGrid/>
        <w:spacing w:line="450" w:lineRule="exact"/>
        <w:ind w:firstLine="480"/>
        <w:jc w:val="left"/>
        <w:textAlignment w:val="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（1）资格审查现场查询时，被信用中国、中国政府采购网列入失信被执行人、</w:t>
      </w:r>
      <w:r>
        <w:rPr>
          <w:rFonts w:ascii="宋体" w:hAnsi="宋体" w:eastAsia="宋体" w:cs="宋体"/>
          <w:color w:val="auto"/>
          <w:sz w:val="24"/>
          <w:highlight w:val="none"/>
        </w:rPr>
        <w:t>税收违法黑名单</w:t>
      </w:r>
      <w:r>
        <w:rPr>
          <w:rFonts w:hint="eastAsia" w:ascii="宋体" w:hAnsi="宋体" w:eastAsia="宋体" w:cs="Times New Roman"/>
          <w:color w:val="auto"/>
          <w:sz w:val="24"/>
          <w:highlight w:val="none"/>
        </w:rPr>
        <w:t>、政府采购严重违法失信行为记录名单的投标人，拒绝其参与政府采购活动。</w:t>
      </w:r>
    </w:p>
    <w:p w14:paraId="799B88A8">
      <w:pPr>
        <w:keepNext w:val="0"/>
        <w:keepLines w:val="0"/>
        <w:pageBreakBefore w:val="0"/>
        <w:widowControl w:val="0"/>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（2）中标后不允许分包或转包</w:t>
      </w:r>
      <w:r>
        <w:rPr>
          <w:rFonts w:hint="eastAsia" w:ascii="宋体" w:hAnsi="宋体" w:cs="Times New Roman"/>
          <w:color w:val="auto"/>
          <w:sz w:val="24"/>
          <w:highlight w:val="none"/>
          <w:lang w:eastAsia="zh-CN"/>
        </w:rPr>
        <w:t>。</w:t>
      </w:r>
    </w:p>
    <w:p w14:paraId="4AB0576A">
      <w:pPr>
        <w:keepNext w:val="0"/>
        <w:keepLines w:val="0"/>
        <w:pageBreakBefore w:val="0"/>
        <w:widowControl w:val="0"/>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rPr>
        <w:t>单位负责人为同一人或者存在直接控股、管理关系的不同供应商，不得同时参加本项目同一包的投标。</w:t>
      </w:r>
    </w:p>
    <w:p w14:paraId="586FEBD4">
      <w:pPr>
        <w:pageBreakBefore w:val="0"/>
        <w:widowControl w:val="0"/>
        <w:kinsoku/>
        <w:wordWrap/>
        <w:overflowPunct/>
        <w:topLinePunct w:val="0"/>
        <w:autoSpaceDE/>
        <w:autoSpaceDN/>
        <w:bidi w:val="0"/>
        <w:adjustRightInd/>
        <w:snapToGrid/>
        <w:spacing w:line="450" w:lineRule="exact"/>
        <w:ind w:firstLine="480"/>
        <w:jc w:val="left"/>
        <w:textAlignment w:val="auto"/>
        <w:rPr>
          <w:rFonts w:hint="eastAsia"/>
          <w:color w:val="auto"/>
          <w:sz w:val="24"/>
          <w:szCs w:val="24"/>
          <w:highlight w:val="none"/>
        </w:rPr>
      </w:pPr>
      <w:r>
        <w:rPr>
          <w:rFonts w:hint="eastAsia" w:ascii="宋体" w:hAnsi="宋体" w:eastAsia="宋体" w:cs="Times New Roman"/>
          <w:color w:val="auto"/>
          <w:sz w:val="24"/>
          <w:highlight w:val="none"/>
        </w:rPr>
        <w:t>5.法律法规规定的其他条件。</w:t>
      </w:r>
    </w:p>
    <w:p w14:paraId="6F36921B">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三、获取招标文件</w:t>
      </w:r>
    </w:p>
    <w:p w14:paraId="5A90D602">
      <w:pPr>
        <w:pageBreakBefore w:val="0"/>
        <w:kinsoku/>
        <w:wordWrap/>
        <w:overflowPunct/>
        <w:topLinePunct w:val="0"/>
        <w:autoSpaceDE/>
        <w:autoSpaceDN/>
        <w:bidi w:val="0"/>
        <w:adjustRightInd/>
        <w:snapToGrid/>
        <w:spacing w:line="450" w:lineRule="exact"/>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时间：</w:t>
      </w:r>
      <w:r>
        <w:rPr>
          <w:rFonts w:hint="eastAsia" w:ascii="宋体" w:hAnsi="宋体" w:eastAsia="宋体" w:cs="宋体"/>
          <w:color w:val="auto"/>
          <w:sz w:val="24"/>
          <w:szCs w:val="24"/>
          <w:highlight w:val="none"/>
        </w:rPr>
        <w:t>自公告发布之日起5个工作日</w:t>
      </w:r>
    </w:p>
    <w:p w14:paraId="737A73BA">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地点：江苏政府采购网</w:t>
      </w:r>
    </w:p>
    <w:p w14:paraId="5C6F9D17">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方式：投标人办理江苏省政府采购交易系统CA数字证书，登录“苏采云”政府采购交易系统，自行下载。</w:t>
      </w:r>
    </w:p>
    <w:p w14:paraId="541E3D7D">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售价：0.00元</w:t>
      </w:r>
    </w:p>
    <w:p w14:paraId="5A733D1B">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四、提交投标文件截止时间、开标时间和地点</w:t>
      </w:r>
    </w:p>
    <w:p w14:paraId="124B90E5">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提交投标文件截止时间：202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06</w:t>
      </w:r>
      <w:r>
        <w:rPr>
          <w:rFonts w:hint="eastAsia"/>
          <w:color w:val="auto"/>
          <w:sz w:val="24"/>
          <w:szCs w:val="24"/>
          <w:highlight w:val="none"/>
        </w:rPr>
        <w:t>月</w:t>
      </w:r>
      <w:r>
        <w:rPr>
          <w:rFonts w:hint="eastAsia"/>
          <w:color w:val="auto"/>
          <w:sz w:val="24"/>
          <w:szCs w:val="24"/>
          <w:highlight w:val="none"/>
          <w:lang w:val="en-US" w:eastAsia="zh-CN"/>
        </w:rPr>
        <w:t>10</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630FBB97">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开标时间：提交投标文件截止时间</w:t>
      </w:r>
    </w:p>
    <w:p w14:paraId="1B1E828C">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highlight w:val="none"/>
        </w:rPr>
      </w:pPr>
      <w:r>
        <w:rPr>
          <w:rFonts w:hint="eastAsia"/>
          <w:color w:val="auto"/>
          <w:sz w:val="24"/>
          <w:szCs w:val="24"/>
          <w:highlight w:val="none"/>
        </w:rPr>
        <w:t>开标地点：“苏采云”政府采购交易系统网上开标大厅</w:t>
      </w:r>
    </w:p>
    <w:p w14:paraId="5DA3DFB0">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五、公告期限</w:t>
      </w:r>
    </w:p>
    <w:p w14:paraId="3D37DD6A">
      <w:pPr>
        <w:pageBreakBefore w:val="0"/>
        <w:widowControl w:val="0"/>
        <w:kinsoku/>
        <w:wordWrap/>
        <w:overflowPunct/>
        <w:topLinePunct w:val="0"/>
        <w:autoSpaceDE/>
        <w:autoSpaceDN/>
        <w:bidi w:val="0"/>
        <w:adjustRightInd/>
        <w:snapToGrid/>
        <w:spacing w:line="450" w:lineRule="exact"/>
        <w:ind w:firstLine="480"/>
        <w:jc w:val="left"/>
        <w:textAlignment w:val="auto"/>
        <w:rPr>
          <w:color w:val="auto"/>
          <w:sz w:val="24"/>
          <w:szCs w:val="24"/>
          <w:highlight w:val="none"/>
        </w:rPr>
      </w:pPr>
      <w:r>
        <w:rPr>
          <w:rFonts w:hint="eastAsia"/>
          <w:color w:val="auto"/>
          <w:sz w:val="24"/>
          <w:szCs w:val="24"/>
          <w:highlight w:val="none"/>
        </w:rPr>
        <w:t>自本公告发布之日起5个工作日。</w:t>
      </w:r>
    </w:p>
    <w:p w14:paraId="0F09F299">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六、其他补充事宜</w:t>
      </w:r>
    </w:p>
    <w:p w14:paraId="318ACF9D">
      <w:pPr>
        <w:pageBreakBefore w:val="0"/>
        <w:widowControl w:val="0"/>
        <w:kinsoku/>
        <w:wordWrap/>
        <w:overflowPunct/>
        <w:topLinePunct w:val="0"/>
        <w:autoSpaceDE/>
        <w:autoSpaceDN/>
        <w:bidi w:val="0"/>
        <w:adjustRightInd/>
        <w:snapToGrid/>
        <w:spacing w:line="450" w:lineRule="exact"/>
        <w:ind w:firstLine="48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14:paraId="0C6A3B11">
      <w:pPr>
        <w:pageBreakBefore w:val="0"/>
        <w:widowControl w:val="0"/>
        <w:kinsoku/>
        <w:wordWrap/>
        <w:overflowPunct/>
        <w:topLinePunct w:val="0"/>
        <w:autoSpaceDE/>
        <w:autoSpaceDN/>
        <w:bidi w:val="0"/>
        <w:adjustRightInd/>
        <w:snapToGrid/>
        <w:spacing w:line="450" w:lineRule="exact"/>
        <w:ind w:firstLine="48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2.本招标文件中标注★的款项为实质性要求和条件，投标人须逐条做出满足实质性要求和条件的响应，否则将按无效响应处理。</w:t>
      </w:r>
    </w:p>
    <w:p w14:paraId="2F8B0655">
      <w:pPr>
        <w:pageBreakBefore w:val="0"/>
        <w:widowControl w:val="0"/>
        <w:kinsoku/>
        <w:wordWrap/>
        <w:overflowPunct/>
        <w:topLinePunct w:val="0"/>
        <w:autoSpaceDE/>
        <w:autoSpaceDN/>
        <w:bidi w:val="0"/>
        <w:adjustRightInd/>
        <w:snapToGrid/>
        <w:spacing w:line="450" w:lineRule="exact"/>
        <w:ind w:firstLine="48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0C67DAD">
      <w:pPr>
        <w:pageBreakBefore w:val="0"/>
        <w:widowControl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none"/>
        </w:rPr>
        <w:t>http://www.ccgp-jiangsu.gov.cn/jiangsu/zlxz/ee/ee3a4bc5a3454</w:t>
      </w:r>
    </w:p>
    <w:p w14:paraId="0B5E1F75">
      <w:pPr>
        <w:pageBreakBefore w:val="0"/>
        <w:widowControl w:val="0"/>
        <w:kinsoku/>
        <w:wordWrap/>
        <w:overflowPunct/>
        <w:topLinePunct w:val="0"/>
        <w:autoSpaceDE/>
        <w:autoSpaceDN/>
        <w:bidi w:val="0"/>
        <w:adjustRightInd/>
        <w:snapToGrid/>
        <w:spacing w:line="450" w:lineRule="exact"/>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a</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a2b0d9312230633ce9.htm</w:t>
      </w:r>
      <w:r>
        <w:rPr>
          <w:rFonts w:hint="eastAsia" w:ascii="宋体" w:hAnsi="宋体" w:eastAsia="宋体" w:cs="宋体"/>
          <w:color w:val="auto"/>
          <w:sz w:val="24"/>
          <w:szCs w:val="24"/>
          <w:highlight w:val="none"/>
          <w:lang w:val="en-US" w:eastAsia="zh-CN"/>
        </w:rPr>
        <w:t>l</w:t>
      </w:r>
    </w:p>
    <w:p w14:paraId="1585CBD0">
      <w:pPr>
        <w:pageBreakBefore w:val="0"/>
        <w:widowControl w:val="0"/>
        <w:kinsoku/>
        <w:wordWrap/>
        <w:overflowPunct/>
        <w:topLinePunct w:val="0"/>
        <w:autoSpaceDE/>
        <w:autoSpaceDN/>
        <w:bidi w:val="0"/>
        <w:adjustRightInd/>
        <w:snapToGrid/>
        <w:spacing w:line="450" w:lineRule="exact"/>
        <w:ind w:firstLine="48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764B9BE5">
      <w:pPr>
        <w:pStyle w:val="186"/>
        <w:pageBreakBefore w:val="0"/>
        <w:widowControl w:val="0"/>
        <w:kinsoku/>
        <w:wordWrap/>
        <w:overflowPunct/>
        <w:topLinePunct w:val="0"/>
        <w:autoSpaceDE/>
        <w:autoSpaceDN/>
        <w:bidi w:val="0"/>
        <w:adjustRightInd/>
        <w:snapToGrid/>
        <w:spacing w:before="0" w:after="0" w:line="450" w:lineRule="exact"/>
        <w:textAlignment w:val="auto"/>
        <w:rPr>
          <w:rFonts w:ascii="黑体" w:hAnsi="黑体" w:eastAsia="黑体"/>
          <w:b w:val="0"/>
          <w:color w:val="auto"/>
          <w:highlight w:val="none"/>
        </w:rPr>
      </w:pPr>
      <w:r>
        <w:rPr>
          <w:rFonts w:hint="eastAsia" w:ascii="黑体" w:hAnsi="黑体" w:eastAsia="黑体"/>
          <w:b w:val="0"/>
          <w:color w:val="auto"/>
          <w:highlight w:val="none"/>
        </w:rPr>
        <w:t>七、对本次招标提出询问，请按以下方式联系</w:t>
      </w:r>
    </w:p>
    <w:p w14:paraId="1365D145">
      <w:pPr>
        <w:pageBreakBefore w:val="0"/>
        <w:widowControl w:val="0"/>
        <w:kinsoku/>
        <w:wordWrap/>
        <w:overflowPunct/>
        <w:topLinePunct w:val="0"/>
        <w:autoSpaceDE/>
        <w:autoSpaceDN/>
        <w:bidi w:val="0"/>
        <w:adjustRightInd/>
        <w:snapToGrid/>
        <w:spacing w:line="450" w:lineRule="exact"/>
        <w:ind w:firstLine="48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367E527">
      <w:pPr>
        <w:pageBreakBefore w:val="0"/>
        <w:widowControl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连云港市赣榆区自然资源和规划局</w:t>
      </w:r>
    </w:p>
    <w:p w14:paraId="69F1BDD6">
      <w:pPr>
        <w:pageBreakBefore w:val="0"/>
        <w:widowControl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连云港市赣榆区青口镇黄海东路309号</w:t>
      </w:r>
      <w:r>
        <w:rPr>
          <w:rFonts w:hint="eastAsia" w:ascii="宋体" w:hAnsi="宋体" w:eastAsia="宋体" w:cs="宋体"/>
          <w:b w:val="0"/>
          <w:bCs w:val="0"/>
          <w:color w:val="auto"/>
          <w:sz w:val="24"/>
          <w:szCs w:val="24"/>
          <w:highlight w:val="none"/>
          <w:lang w:val="en-US" w:eastAsia="zh-CN"/>
        </w:rPr>
        <w:t xml:space="preserve"> 　　</w:t>
      </w:r>
    </w:p>
    <w:p w14:paraId="25BB8E91">
      <w:pPr>
        <w:pageBreakBefore w:val="0"/>
        <w:widowControl w:val="0"/>
        <w:kinsoku/>
        <w:wordWrap/>
        <w:overflowPunct/>
        <w:topLinePunct w:val="0"/>
        <w:autoSpaceDE/>
        <w:autoSpaceDN/>
        <w:bidi w:val="0"/>
        <w:adjustRightInd/>
        <w:snapToGrid/>
        <w:spacing w:line="45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闫主任</w:t>
      </w:r>
      <w:r>
        <w:rPr>
          <w:rFonts w:hint="eastAsia" w:ascii="宋体" w:hAnsi="宋体" w:cs="宋体"/>
          <w:color w:val="auto"/>
          <w:sz w:val="24"/>
          <w:szCs w:val="24"/>
          <w:highlight w:val="none"/>
          <w:lang w:val="en-US" w:eastAsia="zh-CN"/>
        </w:rPr>
        <w:t xml:space="preserve"> </w:t>
      </w:r>
    </w:p>
    <w:p w14:paraId="5D158F92">
      <w:pPr>
        <w:pageBreakBefore w:val="0"/>
        <w:widowControl w:val="0"/>
        <w:kinsoku/>
        <w:wordWrap/>
        <w:overflowPunct/>
        <w:topLinePunct w:val="0"/>
        <w:autoSpaceDE/>
        <w:autoSpaceDN/>
        <w:bidi w:val="0"/>
        <w:adjustRightInd/>
        <w:snapToGrid/>
        <w:spacing w:line="450" w:lineRule="exact"/>
        <w:ind w:firstLine="48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bookmarkStart w:id="1" w:name="_Toc28359009"/>
      <w:bookmarkStart w:id="2" w:name="_Toc28359086"/>
      <w:r>
        <w:rPr>
          <w:rFonts w:hint="eastAsia" w:ascii="宋体" w:hAnsi="宋体" w:cs="宋体"/>
          <w:color w:val="auto"/>
          <w:sz w:val="24"/>
          <w:szCs w:val="24"/>
          <w:highlight w:val="none"/>
          <w:lang w:val="en-US" w:eastAsia="zh-CN"/>
        </w:rPr>
        <w:t>13675228327</w:t>
      </w:r>
      <w:r>
        <w:rPr>
          <w:rFonts w:hint="eastAsia" w:ascii="宋体" w:hAnsi="宋体" w:cs="宋体"/>
          <w:color w:val="auto"/>
          <w:sz w:val="24"/>
          <w:szCs w:val="24"/>
          <w:highlight w:val="none"/>
          <w:lang w:val="en-US" w:eastAsia="zh-CN"/>
        </w:rPr>
        <w:t xml:space="preserve"> </w:t>
      </w:r>
    </w:p>
    <w:p w14:paraId="42333F50">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w:t>
      </w:r>
      <w:bookmarkEnd w:id="1"/>
      <w:bookmarkEnd w:id="2"/>
      <w:r>
        <w:rPr>
          <w:rFonts w:hint="eastAsia" w:ascii="宋体" w:hAnsi="宋体" w:eastAsia="宋体" w:cs="宋体"/>
          <w:color w:val="auto"/>
          <w:sz w:val="24"/>
          <w:highlight w:val="none"/>
        </w:rPr>
        <w:t>采购代理机构信息</w:t>
      </w:r>
    </w:p>
    <w:p w14:paraId="63B650B9">
      <w:pPr>
        <w:pageBreakBefore w:val="0"/>
        <w:widowControl w:val="0"/>
        <w:kinsoku/>
        <w:wordWrap/>
        <w:overflowPunct/>
        <w:topLinePunct w:val="0"/>
        <w:autoSpaceDE/>
        <w:autoSpaceDN/>
        <w:bidi w:val="0"/>
        <w:adjustRightInd/>
        <w:snapToGrid/>
        <w:spacing w:line="450" w:lineRule="exact"/>
        <w:ind w:firstLine="480"/>
        <w:textAlignment w:val="auto"/>
        <w:outlineLvl w:val="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名称：</w:t>
      </w:r>
      <w:r>
        <w:rPr>
          <w:rFonts w:hint="eastAsia" w:ascii="宋体" w:hAnsi="宋体" w:cs="宋体"/>
          <w:color w:val="auto"/>
          <w:sz w:val="24"/>
          <w:szCs w:val="24"/>
          <w:highlight w:val="none"/>
          <w:lang w:eastAsia="zh-CN"/>
        </w:rPr>
        <w:t>江苏博茂项目管理有限公司</w:t>
      </w:r>
    </w:p>
    <w:p w14:paraId="6EA90962">
      <w:pPr>
        <w:pageBreakBefore w:val="0"/>
        <w:widowControl w:val="0"/>
        <w:kinsoku/>
        <w:wordWrap/>
        <w:overflowPunct/>
        <w:topLinePunct w:val="0"/>
        <w:autoSpaceDE/>
        <w:autoSpaceDN/>
        <w:bidi w:val="0"/>
        <w:adjustRightInd/>
        <w:snapToGrid/>
        <w:spacing w:line="450" w:lineRule="exact"/>
        <w:ind w:firstLine="480"/>
        <w:textAlignment w:val="auto"/>
        <w:rPr>
          <w:rFonts w:hint="eastAsia" w:ascii="宋体" w:hAnsi="宋体" w:cs="宋体"/>
          <w:color w:val="auto"/>
          <w:sz w:val="24"/>
          <w:szCs w:val="28"/>
          <w:highlight w:val="none"/>
          <w:lang w:val="en-US" w:eastAsia="zh-CN"/>
        </w:rPr>
      </w:pPr>
      <w:r>
        <w:rPr>
          <w:rFonts w:hint="eastAsia" w:ascii="宋体" w:hAnsi="宋体" w:cs="宋体"/>
          <w:b w:val="0"/>
          <w:bCs w:val="0"/>
          <w:color w:val="auto"/>
          <w:sz w:val="24"/>
          <w:szCs w:val="24"/>
          <w:highlight w:val="none"/>
          <w:lang w:val="en-US" w:eastAsia="zh-CN"/>
        </w:rPr>
        <w:t>地址：</w:t>
      </w:r>
      <w:r>
        <w:rPr>
          <w:rFonts w:hint="eastAsia" w:ascii="宋体" w:hAnsi="宋体" w:cs="宋体"/>
          <w:color w:val="auto"/>
          <w:sz w:val="24"/>
          <w:szCs w:val="28"/>
          <w:highlight w:val="none"/>
        </w:rPr>
        <w:t>连云港市海州经济开发区朐凤路116号</w:t>
      </w:r>
      <w:r>
        <w:rPr>
          <w:rFonts w:hint="eastAsia" w:ascii="宋体" w:hAnsi="宋体" w:cs="宋体"/>
          <w:color w:val="auto"/>
          <w:sz w:val="24"/>
          <w:szCs w:val="28"/>
          <w:highlight w:val="none"/>
          <w:lang w:val="en-US" w:eastAsia="zh-CN"/>
        </w:rPr>
        <w:t xml:space="preserve"> </w:t>
      </w:r>
    </w:p>
    <w:p w14:paraId="446F382C">
      <w:pPr>
        <w:pageBreakBefore w:val="0"/>
        <w:widowControl w:val="0"/>
        <w:kinsoku/>
        <w:wordWrap/>
        <w:overflowPunct/>
        <w:topLinePunct w:val="0"/>
        <w:autoSpaceDE/>
        <w:autoSpaceDN/>
        <w:bidi w:val="0"/>
        <w:adjustRightInd/>
        <w:snapToGrid/>
        <w:spacing w:line="450" w:lineRule="exact"/>
        <w:ind w:firstLine="480"/>
        <w:textAlignment w:val="auto"/>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联系人：</w:t>
      </w:r>
      <w:r>
        <w:rPr>
          <w:rFonts w:hint="eastAsia" w:ascii="宋体" w:hAnsi="宋体" w:cs="宋体"/>
          <w:b w:val="0"/>
          <w:bCs w:val="0"/>
          <w:color w:val="auto"/>
          <w:sz w:val="24"/>
          <w:szCs w:val="24"/>
          <w:highlight w:val="none"/>
          <w:lang w:val="en-US" w:eastAsia="zh-CN"/>
        </w:rPr>
        <w:t>庞</w:t>
      </w:r>
      <w:r>
        <w:rPr>
          <w:rFonts w:hint="eastAsia" w:ascii="宋体" w:hAnsi="宋体" w:eastAsia="宋体" w:cs="宋体"/>
          <w:b w:val="0"/>
          <w:bCs w:val="0"/>
          <w:color w:val="auto"/>
          <w:sz w:val="24"/>
          <w:szCs w:val="24"/>
          <w:highlight w:val="none"/>
          <w:lang w:val="en-US" w:eastAsia="zh-CN"/>
        </w:rPr>
        <w:t>工</w:t>
      </w:r>
    </w:p>
    <w:p w14:paraId="7C815A39">
      <w:pPr>
        <w:pageBreakBefore w:val="0"/>
        <w:widowControl w:val="0"/>
        <w:kinsoku/>
        <w:wordWrap/>
        <w:overflowPunct/>
        <w:topLinePunct w:val="0"/>
        <w:autoSpaceDE/>
        <w:autoSpaceDN/>
        <w:bidi w:val="0"/>
        <w:adjustRightInd/>
        <w:snapToGrid/>
        <w:spacing w:line="450" w:lineRule="exact"/>
        <w:ind w:firstLine="48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联系方式：</w:t>
      </w:r>
      <w:bookmarkStart w:id="3" w:name="_Toc28359087"/>
      <w:bookmarkStart w:id="4" w:name="_Toc28359010"/>
      <w:r>
        <w:rPr>
          <w:rFonts w:hint="eastAsia" w:ascii="宋体" w:hAnsi="宋体" w:cs="宋体"/>
          <w:b w:val="0"/>
          <w:bCs w:val="0"/>
          <w:color w:val="auto"/>
          <w:sz w:val="24"/>
          <w:szCs w:val="24"/>
          <w:highlight w:val="none"/>
          <w:lang w:val="en-US" w:eastAsia="zh-CN"/>
        </w:rPr>
        <w:t>15895798305</w:t>
      </w:r>
    </w:p>
    <w:bookmarkEnd w:id="3"/>
    <w:bookmarkEnd w:id="4"/>
    <w:p w14:paraId="30BD9A65">
      <w:pPr>
        <w:keepNext/>
        <w:keepLines/>
        <w:pageBreakBefore w:val="0"/>
        <w:kinsoku/>
        <w:wordWrap/>
        <w:overflowPunct/>
        <w:topLinePunct w:val="0"/>
        <w:autoSpaceDE/>
        <w:autoSpaceDN/>
        <w:bidi w:val="0"/>
        <w:adjustRightInd/>
        <w:snapToGrid/>
        <w:spacing w:before="260" w:after="260" w:line="450" w:lineRule="exact"/>
        <w:jc w:val="center"/>
        <w:textAlignment w:val="auto"/>
        <w:outlineLvl w:val="1"/>
        <w:rPr>
          <w:rFonts w:ascii="黑体" w:hAnsi="Arial" w:eastAsia="黑体" w:cs="Arial"/>
          <w:b w:val="0"/>
          <w:bCs w:val="0"/>
          <w:color w:val="auto"/>
          <w:sz w:val="44"/>
          <w:szCs w:val="44"/>
          <w:highlight w:val="none"/>
        </w:rPr>
      </w:pPr>
      <w:bookmarkStart w:id="5" w:name="_Toc155796357"/>
      <w:r>
        <w:rPr>
          <w:rFonts w:ascii="黑体" w:hAnsi="黑体" w:eastAsia="黑体"/>
          <w:b/>
          <w:color w:val="auto"/>
          <w:highlight w:val="none"/>
        </w:rPr>
        <w:br w:type="page" w:clear="all"/>
      </w:r>
      <w:bookmarkStart w:id="6" w:name="_Toc120614211"/>
      <w:bookmarkStart w:id="7" w:name="_Toc28147"/>
      <w:bookmarkStart w:id="8" w:name="_Toc18854"/>
      <w:r>
        <w:rPr>
          <w:rFonts w:hint="eastAsia" w:ascii="黑体" w:hAnsi="Times New Roman" w:eastAsia="黑体" w:cs="Times New Roman"/>
          <w:b w:val="0"/>
          <w:bCs w:val="0"/>
          <w:color w:val="auto"/>
          <w:sz w:val="44"/>
          <w:szCs w:val="44"/>
          <w:highlight w:val="none"/>
        </w:rPr>
        <w:t xml:space="preserve">第二章  </w:t>
      </w:r>
      <w:bookmarkEnd w:id="6"/>
      <w:bookmarkStart w:id="9" w:name="_Toc20823274"/>
      <w:bookmarkStart w:id="10" w:name="_Toc16938518"/>
      <w:bookmarkStart w:id="11" w:name="_Toc513029202"/>
      <w:bookmarkStart w:id="12" w:name="_Toc120614213"/>
      <w:r>
        <w:rPr>
          <w:rFonts w:hint="eastAsia" w:ascii="黑体" w:hAnsi="Times New Roman" w:eastAsia="黑体" w:cs="Times New Roman"/>
          <w:b w:val="0"/>
          <w:bCs w:val="0"/>
          <w:color w:val="auto"/>
          <w:sz w:val="44"/>
          <w:szCs w:val="44"/>
          <w:highlight w:val="none"/>
        </w:rPr>
        <w:t>投标人须知</w:t>
      </w:r>
      <w:bookmarkEnd w:id="7"/>
      <w:bookmarkEnd w:id="8"/>
      <w:bookmarkEnd w:id="9"/>
      <w:bookmarkEnd w:id="10"/>
      <w:bookmarkEnd w:id="11"/>
      <w:bookmarkEnd w:id="12"/>
    </w:p>
    <w:p w14:paraId="0C96E5ED">
      <w:pPr>
        <w:keepNext/>
        <w:keepLines/>
        <w:pageBreakBefore w:val="0"/>
        <w:widowControl w:val="0"/>
        <w:kinsoku/>
        <w:wordWrap/>
        <w:overflowPunct/>
        <w:topLinePunct w:val="0"/>
        <w:autoSpaceDE/>
        <w:autoSpaceDN/>
        <w:bidi w:val="0"/>
        <w:adjustRightInd/>
        <w:snapToGrid/>
        <w:spacing w:before="145" w:after="145" w:line="450" w:lineRule="exact"/>
        <w:ind w:firstLine="498"/>
        <w:jc w:val="both"/>
        <w:textAlignment w:val="auto"/>
        <w:outlineLvl w:val="2"/>
        <w:rPr>
          <w:rFonts w:ascii="宋体" w:hAnsi="宋体" w:eastAsia="宋体" w:cs="宋体"/>
          <w:b/>
          <w:bCs/>
          <w:color w:val="auto"/>
          <w:sz w:val="32"/>
          <w:szCs w:val="32"/>
          <w:highlight w:val="none"/>
          <w:lang w:val="en-US" w:eastAsia="zh-CN" w:bidi="ar-SA"/>
        </w:rPr>
      </w:pPr>
      <w:bookmarkStart w:id="13" w:name="_Toc6848"/>
      <w:bookmarkStart w:id="14" w:name="_Toc1598"/>
      <w:bookmarkStart w:id="15" w:name="_Toc513029203"/>
      <w:bookmarkStart w:id="16" w:name="_Toc20823275"/>
      <w:bookmarkStart w:id="17" w:name="_Toc120614214"/>
      <w:bookmarkStart w:id="18" w:name="_Toc16938519"/>
      <w:r>
        <w:rPr>
          <w:rFonts w:hint="eastAsia" w:ascii="宋体" w:hAnsi="宋体" w:eastAsia="宋体" w:cs="宋体"/>
          <w:b/>
          <w:bCs/>
          <w:color w:val="auto"/>
          <w:sz w:val="32"/>
          <w:szCs w:val="32"/>
          <w:highlight w:val="none"/>
          <w:lang w:val="en-US" w:eastAsia="zh-CN" w:bidi="ar-SA"/>
        </w:rPr>
        <w:t>一、总则</w:t>
      </w:r>
      <w:bookmarkEnd w:id="13"/>
      <w:bookmarkEnd w:id="14"/>
      <w:bookmarkEnd w:id="15"/>
      <w:bookmarkEnd w:id="16"/>
      <w:bookmarkEnd w:id="17"/>
      <w:bookmarkEnd w:id="18"/>
    </w:p>
    <w:p w14:paraId="20FCAB82">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9" w:name="_Hlt16619475"/>
      <w:bookmarkEnd w:id="19"/>
      <w:bookmarkStart w:id="20" w:name="_Toc458694821"/>
      <w:bookmarkStart w:id="21" w:name="_Toc513029204"/>
      <w:bookmarkStart w:id="22" w:name="_Toc20823276"/>
      <w:bookmarkStart w:id="23" w:name="_Toc16938520"/>
      <w:r>
        <w:rPr>
          <w:rFonts w:hint="eastAsia" w:ascii="宋体" w:hAnsi="宋体" w:eastAsia="宋体" w:cs="宋体"/>
          <w:b w:val="0"/>
          <w:bCs w:val="0"/>
          <w:color w:val="auto"/>
          <w:sz w:val="28"/>
          <w:szCs w:val="28"/>
          <w:highlight w:val="none"/>
          <w:lang w:val="en-US" w:eastAsia="zh-CN" w:bidi="ar-SA"/>
        </w:rPr>
        <w:t>1</w:t>
      </w:r>
      <w:bookmarkEnd w:id="20"/>
      <w:r>
        <w:rPr>
          <w:rFonts w:hint="eastAsia" w:ascii="宋体" w:hAnsi="宋体" w:eastAsia="宋体" w:cs="宋体"/>
          <w:b w:val="0"/>
          <w:bCs w:val="0"/>
          <w:color w:val="auto"/>
          <w:sz w:val="28"/>
          <w:szCs w:val="28"/>
          <w:highlight w:val="none"/>
          <w:lang w:val="en-US" w:eastAsia="zh-CN" w:bidi="ar-SA"/>
        </w:rPr>
        <w:t>.招标方式</w:t>
      </w:r>
      <w:bookmarkEnd w:id="21"/>
      <w:bookmarkEnd w:id="22"/>
      <w:bookmarkEnd w:id="23"/>
    </w:p>
    <w:p w14:paraId="61B9A11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1.1 本次招标采取</w:t>
      </w:r>
      <w:r>
        <w:rPr>
          <w:rFonts w:hint="eastAsia" w:ascii="宋体" w:hAnsi="宋体" w:eastAsia="宋体" w:cs="宋体"/>
          <w:b/>
          <w:bCs/>
          <w:color w:val="auto"/>
          <w:sz w:val="24"/>
          <w:highlight w:val="none"/>
        </w:rPr>
        <w:t>公开招标</w:t>
      </w:r>
      <w:r>
        <w:rPr>
          <w:rFonts w:hint="eastAsia" w:ascii="宋体" w:hAnsi="宋体" w:eastAsia="宋体" w:cs="宋体"/>
          <w:color w:val="auto"/>
          <w:sz w:val="24"/>
          <w:highlight w:val="none"/>
        </w:rPr>
        <w:t>方式，本招标文件仅适用于招标公告中所述项目。</w:t>
      </w:r>
    </w:p>
    <w:p w14:paraId="6493BAE2">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24" w:name="_Toc16938521"/>
      <w:bookmarkStart w:id="25" w:name="_Toc513029205"/>
      <w:bookmarkStart w:id="26" w:name="_Toc20823277"/>
      <w:r>
        <w:rPr>
          <w:rFonts w:hint="eastAsia" w:ascii="宋体" w:hAnsi="宋体" w:eastAsia="宋体" w:cs="宋体"/>
          <w:b w:val="0"/>
          <w:bCs w:val="0"/>
          <w:color w:val="auto"/>
          <w:sz w:val="28"/>
          <w:szCs w:val="28"/>
          <w:highlight w:val="none"/>
          <w:lang w:val="en-US" w:eastAsia="zh-CN" w:bidi="ar-SA"/>
        </w:rPr>
        <w:t>2.合格的投标人</w:t>
      </w:r>
      <w:bookmarkEnd w:id="24"/>
      <w:bookmarkEnd w:id="25"/>
      <w:bookmarkEnd w:id="26"/>
    </w:p>
    <w:p w14:paraId="6DD356E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满足招标公告中供应商的资格要求的规定。</w:t>
      </w:r>
    </w:p>
    <w:p w14:paraId="69C52FC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2.2 满足本文件实质性要求和条件的规定。</w:t>
      </w:r>
    </w:p>
    <w:p w14:paraId="1EBFC92F">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27" w:name="_Toc20823278"/>
      <w:bookmarkStart w:id="28" w:name="_Toc16938522"/>
      <w:bookmarkStart w:id="29" w:name="_Toc513029206"/>
      <w:r>
        <w:rPr>
          <w:rFonts w:hint="eastAsia" w:ascii="宋体" w:hAnsi="宋体" w:eastAsia="宋体" w:cs="宋体"/>
          <w:b w:val="0"/>
          <w:bCs w:val="0"/>
          <w:color w:val="auto"/>
          <w:sz w:val="28"/>
          <w:szCs w:val="28"/>
          <w:highlight w:val="none"/>
          <w:lang w:val="en-US" w:eastAsia="zh-CN" w:bidi="ar-SA"/>
        </w:rPr>
        <w:t>3.适用法律</w:t>
      </w:r>
      <w:bookmarkEnd w:id="27"/>
      <w:bookmarkEnd w:id="28"/>
      <w:bookmarkEnd w:id="29"/>
    </w:p>
    <w:p w14:paraId="74BBDB1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1AAD91B8">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30" w:name="_Toc20823279"/>
      <w:bookmarkStart w:id="31" w:name="_Toc513029207"/>
      <w:bookmarkStart w:id="32" w:name="_Toc16938523"/>
      <w:bookmarkStart w:id="33" w:name="_Toc462564067"/>
      <w:r>
        <w:rPr>
          <w:rFonts w:hint="eastAsia" w:ascii="宋体" w:hAnsi="宋体" w:eastAsia="宋体" w:cs="宋体"/>
          <w:b w:val="0"/>
          <w:bCs w:val="0"/>
          <w:color w:val="auto"/>
          <w:sz w:val="28"/>
          <w:szCs w:val="28"/>
          <w:highlight w:val="none"/>
          <w:lang w:val="en-US" w:eastAsia="zh-CN" w:bidi="ar-SA"/>
        </w:rPr>
        <w:t>4.投标费用</w:t>
      </w:r>
      <w:bookmarkEnd w:id="30"/>
      <w:bookmarkEnd w:id="31"/>
      <w:bookmarkEnd w:id="32"/>
      <w:bookmarkEnd w:id="33"/>
    </w:p>
    <w:p w14:paraId="6FAE240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4.1 投标人应自行承担所有与参加投标有关的费用，无论投标过程中的做法和结果如何，</w:t>
      </w:r>
      <w:r>
        <w:rPr>
          <w:rFonts w:hint="eastAsia" w:ascii="宋体" w:hAnsi="宋体" w:cs="宋体"/>
          <w:b/>
          <w:bCs/>
          <w:color w:val="auto"/>
          <w:sz w:val="24"/>
          <w:highlight w:val="none"/>
          <w:lang w:eastAsia="zh-CN"/>
        </w:rPr>
        <w:t>江苏博茂项目管理有限公司</w:t>
      </w:r>
      <w:r>
        <w:rPr>
          <w:rFonts w:hint="eastAsia" w:ascii="宋体" w:hAnsi="宋体" w:eastAsia="宋体" w:cs="宋体"/>
          <w:color w:val="auto"/>
          <w:sz w:val="24"/>
          <w:highlight w:val="none"/>
        </w:rPr>
        <w:t>（以下简称采购代理机构）在任何情况下均无义务和责任承担这些费用。</w:t>
      </w:r>
    </w:p>
    <w:p w14:paraId="60A4B6AD">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 本次招标采购代理服务费：</w:t>
      </w:r>
      <w:r>
        <w:rPr>
          <w:rFonts w:hint="eastAsia" w:ascii="宋体" w:hAnsi="宋体" w:eastAsia="宋体" w:cs="宋体"/>
          <w:b/>
          <w:bCs/>
          <w:color w:val="auto"/>
          <w:sz w:val="24"/>
          <w:highlight w:val="none"/>
          <w:lang w:val="en-US" w:eastAsia="zh-CN"/>
        </w:rPr>
        <w:t>招标代理服务费按《江苏省政府采购代理服务收费指导意见》（苏政采协[2024]20号）收费标准</w:t>
      </w:r>
      <w:r>
        <w:rPr>
          <w:rFonts w:hint="eastAsia" w:ascii="宋体" w:hAnsi="宋体" w:cs="宋体"/>
          <w:b/>
          <w:bCs/>
          <w:color w:val="auto"/>
          <w:sz w:val="24"/>
          <w:highlight w:val="none"/>
          <w:lang w:val="en-US" w:eastAsia="zh-CN"/>
        </w:rPr>
        <w:t>的80</w:t>
      </w:r>
      <w:r>
        <w:rPr>
          <w:rFonts w:hint="eastAsia" w:ascii="宋体" w:hAnsi="宋体" w:eastAsia="宋体" w:cs="宋体"/>
          <w:b/>
          <w:bCs/>
          <w:color w:val="auto"/>
          <w:sz w:val="24"/>
          <w:highlight w:val="none"/>
          <w:lang w:val="en-US" w:eastAsia="zh-CN"/>
        </w:rPr>
        <w:t>%计取</w:t>
      </w:r>
      <w:r>
        <w:rPr>
          <w:rFonts w:hint="eastAsia" w:ascii="宋体" w:hAnsi="宋体" w:cs="宋体"/>
          <w:b/>
          <w:bCs/>
          <w:color w:val="auto"/>
          <w:sz w:val="24"/>
          <w:highlight w:val="none"/>
          <w:lang w:val="en-US" w:eastAsia="zh-CN"/>
        </w:rPr>
        <w:t>，按34000元收取</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最终由中标人在领取中标通知书时一次性支付，投标人须将此部分费用综合考虑在报价中，不得单列</w:t>
      </w:r>
      <w:r>
        <w:rPr>
          <w:rFonts w:hint="eastAsia" w:ascii="宋体" w:hAnsi="宋体" w:eastAsia="宋体" w:cs="宋体"/>
          <w:color w:val="auto"/>
          <w:sz w:val="24"/>
          <w:highlight w:val="none"/>
        </w:rPr>
        <w:t>。</w:t>
      </w:r>
    </w:p>
    <w:p w14:paraId="6052B73D">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原因：为优化采购资金使用效率，依据《政府采购代理机构管理暂行办法》（财库〔2018〕2号）第十五条规定，经采购人研究确定，本项目代理服务费由中标人支付。</w:t>
      </w:r>
    </w:p>
    <w:p w14:paraId="36DE45D2">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5.招标文件的约束力</w:t>
      </w:r>
    </w:p>
    <w:p w14:paraId="12658BC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5.1 投标人一旦参加本项目采购活动，即被认为接受了本招标文件的规定和约束。</w:t>
      </w:r>
    </w:p>
    <w:p w14:paraId="7FB37467">
      <w:pPr>
        <w:keepNext/>
        <w:keepLines/>
        <w:pageBreakBefore w:val="0"/>
        <w:widowControl w:val="0"/>
        <w:kinsoku/>
        <w:wordWrap/>
        <w:overflowPunct/>
        <w:topLinePunct w:val="0"/>
        <w:autoSpaceDE/>
        <w:autoSpaceDN/>
        <w:bidi w:val="0"/>
        <w:adjustRightInd/>
        <w:snapToGrid/>
        <w:spacing w:before="145" w:after="145" w:line="450" w:lineRule="exact"/>
        <w:ind w:firstLine="321"/>
        <w:jc w:val="both"/>
        <w:textAlignment w:val="auto"/>
        <w:outlineLvl w:val="2"/>
        <w:rPr>
          <w:rFonts w:ascii="宋体" w:hAnsi="宋体" w:eastAsia="宋体" w:cs="宋体"/>
          <w:b/>
          <w:bCs/>
          <w:color w:val="auto"/>
          <w:sz w:val="32"/>
          <w:szCs w:val="32"/>
          <w:highlight w:val="none"/>
          <w:lang w:val="en-US" w:eastAsia="zh-CN" w:bidi="ar-SA"/>
        </w:rPr>
      </w:pPr>
      <w:bookmarkStart w:id="34" w:name="_Toc16938525"/>
      <w:bookmarkStart w:id="35" w:name="_Toc120614215"/>
      <w:bookmarkStart w:id="36" w:name="_Toc513029209"/>
      <w:bookmarkStart w:id="37" w:name="_Toc20823281"/>
      <w:bookmarkStart w:id="38" w:name="_Toc13550"/>
      <w:bookmarkStart w:id="39" w:name="_Toc2081"/>
      <w:r>
        <w:rPr>
          <w:rFonts w:hint="eastAsia" w:ascii="宋体" w:hAnsi="宋体" w:eastAsia="宋体" w:cs="宋体"/>
          <w:b/>
          <w:bCs/>
          <w:color w:val="auto"/>
          <w:sz w:val="32"/>
          <w:szCs w:val="32"/>
          <w:highlight w:val="none"/>
          <w:lang w:val="en-US" w:eastAsia="zh-CN" w:bidi="ar-SA"/>
        </w:rPr>
        <w:t>二、招标文件</w:t>
      </w:r>
      <w:bookmarkEnd w:id="34"/>
      <w:bookmarkEnd w:id="35"/>
      <w:bookmarkEnd w:id="36"/>
      <w:bookmarkEnd w:id="37"/>
      <w:bookmarkEnd w:id="38"/>
      <w:bookmarkEnd w:id="39"/>
    </w:p>
    <w:p w14:paraId="233142C4">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40" w:name="_Toc16938526"/>
      <w:bookmarkStart w:id="41" w:name="_Toc513029210"/>
      <w:bookmarkStart w:id="42" w:name="_Toc20823282"/>
      <w:r>
        <w:rPr>
          <w:rFonts w:hint="eastAsia" w:ascii="宋体" w:hAnsi="宋体" w:eastAsia="宋体" w:cs="宋体"/>
          <w:b w:val="0"/>
          <w:bCs w:val="0"/>
          <w:color w:val="auto"/>
          <w:sz w:val="28"/>
          <w:szCs w:val="28"/>
          <w:highlight w:val="none"/>
          <w:lang w:val="en-US" w:eastAsia="zh-CN" w:bidi="ar-SA"/>
        </w:rPr>
        <w:t>6.招标文件构成</w:t>
      </w:r>
      <w:bookmarkEnd w:id="40"/>
      <w:bookmarkEnd w:id="41"/>
      <w:bookmarkEnd w:id="42"/>
    </w:p>
    <w:p w14:paraId="60061F2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6.1 招标文件由以下部分组成：</w:t>
      </w:r>
    </w:p>
    <w:p w14:paraId="7D6B6AA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（1）投标邀请</w:t>
      </w:r>
    </w:p>
    <w:p w14:paraId="7A360BF7">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（2）投标人须知</w:t>
      </w:r>
    </w:p>
    <w:p w14:paraId="795DA68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（3）合同文本</w:t>
      </w:r>
    </w:p>
    <w:p w14:paraId="3DB8FAC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（4）采购需求</w:t>
      </w:r>
    </w:p>
    <w:p w14:paraId="6089E9E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（5）评标方法与评标标准</w:t>
      </w:r>
    </w:p>
    <w:p w14:paraId="6A50E38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（6）投标文件格式</w:t>
      </w:r>
    </w:p>
    <w:p w14:paraId="7F9F481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4225B747">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auto"/>
          <w:sz w:val="24"/>
          <w:highlight w:val="none"/>
          <w:lang w:eastAsia="zh-CN"/>
        </w:rPr>
        <w:t>做出</w:t>
      </w:r>
      <w:r>
        <w:rPr>
          <w:rFonts w:hint="eastAsia" w:ascii="宋体" w:hAnsi="宋体" w:eastAsia="宋体" w:cs="宋体"/>
          <w:color w:val="auto"/>
          <w:sz w:val="24"/>
          <w:highlight w:val="none"/>
        </w:rPr>
        <w:t>实质性响应，否则其风险由投标人自行承担。</w:t>
      </w:r>
    </w:p>
    <w:p w14:paraId="64BF72AB">
      <w:pPr>
        <w:keepNext/>
        <w:keepLines/>
        <w:pageBreakBefore w:val="0"/>
        <w:widowControl w:val="0"/>
        <w:kinsoku/>
        <w:wordWrap/>
        <w:overflowPunct/>
        <w:topLinePunct w:val="0"/>
        <w:autoSpaceDE/>
        <w:autoSpaceDN/>
        <w:bidi w:val="0"/>
        <w:adjustRightInd/>
        <w:snapToGrid/>
        <w:spacing w:before="0" w:after="0" w:line="450" w:lineRule="exact"/>
        <w:ind w:firstLine="560"/>
        <w:jc w:val="both"/>
        <w:textAlignment w:val="auto"/>
        <w:outlineLvl w:val="3"/>
        <w:rPr>
          <w:rFonts w:ascii="宋体" w:hAnsi="宋体" w:eastAsia="宋体" w:cs="宋体"/>
          <w:b w:val="0"/>
          <w:bCs w:val="0"/>
          <w:color w:val="auto"/>
          <w:sz w:val="28"/>
          <w:szCs w:val="28"/>
          <w:highlight w:val="none"/>
          <w:lang w:val="en-US" w:eastAsia="zh-CN" w:bidi="ar-SA"/>
        </w:rPr>
      </w:pPr>
      <w:bookmarkStart w:id="43" w:name="_Toc513029211"/>
      <w:bookmarkStart w:id="44" w:name="_Toc462564070"/>
      <w:bookmarkStart w:id="45" w:name="_Toc16938527"/>
      <w:bookmarkStart w:id="46" w:name="_Toc20823283"/>
      <w:r>
        <w:rPr>
          <w:rFonts w:hint="eastAsia" w:ascii="宋体" w:hAnsi="宋体" w:eastAsia="宋体" w:cs="宋体"/>
          <w:b w:val="0"/>
          <w:bCs w:val="0"/>
          <w:color w:val="auto"/>
          <w:sz w:val="28"/>
          <w:szCs w:val="28"/>
          <w:highlight w:val="none"/>
          <w:lang w:val="en-US" w:eastAsia="zh-CN" w:bidi="ar-SA"/>
        </w:rPr>
        <w:t>7.招标文件的澄清</w:t>
      </w:r>
      <w:bookmarkEnd w:id="43"/>
      <w:bookmarkEnd w:id="44"/>
      <w:bookmarkEnd w:id="45"/>
      <w:bookmarkEnd w:id="46"/>
    </w:p>
    <w:p w14:paraId="4397E33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szCs w:val="24"/>
          <w:highlight w:val="none"/>
        </w:rPr>
      </w:pPr>
      <w:r>
        <w:rPr>
          <w:rFonts w:hint="eastAsia" w:ascii="宋体" w:hAnsi="宋体" w:eastAsia="宋体" w:cs="宋体"/>
          <w:bCs/>
          <w:color w:val="auto"/>
          <w:sz w:val="24"/>
          <w:highlight w:val="none"/>
        </w:rPr>
        <w:t>7.1</w:t>
      </w:r>
      <w:r>
        <w:rPr>
          <w:rFonts w:hint="eastAsia" w:ascii="宋体" w:hAnsi="宋体" w:eastAsia="宋体" w:cs="宋体"/>
          <w:color w:val="auto"/>
          <w:sz w:val="24"/>
          <w:highlight w:val="none"/>
        </w:rPr>
        <w:t xml:space="preserve"> 任何要求对招标文件进行澄清的投标人，应在投标截止期十日前按招标公告中的通讯地址，以书面形式通知采购代理机构或采购人。</w:t>
      </w:r>
    </w:p>
    <w:p w14:paraId="236F1E0D">
      <w:pPr>
        <w:keepNext/>
        <w:keepLines/>
        <w:pageBreakBefore w:val="0"/>
        <w:widowControl w:val="0"/>
        <w:kinsoku/>
        <w:wordWrap/>
        <w:overflowPunct/>
        <w:topLinePunct w:val="0"/>
        <w:autoSpaceDE/>
        <w:autoSpaceDN/>
        <w:bidi w:val="0"/>
        <w:adjustRightInd/>
        <w:snapToGrid/>
        <w:spacing w:before="0" w:after="0" w:line="450" w:lineRule="exact"/>
        <w:ind w:firstLine="560"/>
        <w:jc w:val="both"/>
        <w:textAlignment w:val="auto"/>
        <w:outlineLvl w:val="3"/>
        <w:rPr>
          <w:rFonts w:ascii="宋体" w:hAnsi="宋体" w:eastAsia="宋体" w:cs="宋体"/>
          <w:b w:val="0"/>
          <w:bCs w:val="0"/>
          <w:color w:val="auto"/>
          <w:sz w:val="28"/>
          <w:szCs w:val="28"/>
          <w:highlight w:val="none"/>
          <w:lang w:val="en-US" w:eastAsia="zh-CN" w:bidi="ar-SA"/>
        </w:rPr>
      </w:pPr>
      <w:bookmarkStart w:id="47" w:name="_Toc513029212"/>
      <w:bookmarkStart w:id="48" w:name="_Toc20823284"/>
      <w:bookmarkStart w:id="49" w:name="_Toc16938528"/>
      <w:bookmarkStart w:id="50" w:name="_Toc462564071"/>
      <w:r>
        <w:rPr>
          <w:rFonts w:hint="eastAsia" w:ascii="宋体" w:hAnsi="宋体" w:eastAsia="宋体" w:cs="宋体"/>
          <w:b w:val="0"/>
          <w:bCs w:val="0"/>
          <w:color w:val="auto"/>
          <w:sz w:val="28"/>
          <w:szCs w:val="28"/>
          <w:highlight w:val="none"/>
          <w:lang w:val="en-US" w:eastAsia="zh-CN" w:bidi="ar-SA"/>
        </w:rPr>
        <w:t>8.投标文件的修改</w:t>
      </w:r>
      <w:bookmarkEnd w:id="47"/>
      <w:bookmarkEnd w:id="48"/>
      <w:bookmarkEnd w:id="49"/>
      <w:bookmarkEnd w:id="50"/>
    </w:p>
    <w:p w14:paraId="19E4DA6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8.1 在投标截止时间前，采购人可以对招标文件进行修改。</w:t>
      </w:r>
    </w:p>
    <w:p w14:paraId="64EF040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8.2 采购人有权按照法定的要求推迟投标截止日期和开标日期。</w:t>
      </w:r>
    </w:p>
    <w:p w14:paraId="6A8A547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8.3 招标文件的修改将在江苏政府采购网公布，补充文件将作为招标文件的组成部分，并对投标人具有约束力。</w:t>
      </w:r>
    </w:p>
    <w:p w14:paraId="7962B017">
      <w:pPr>
        <w:keepNext/>
        <w:keepLines/>
        <w:pageBreakBefore w:val="0"/>
        <w:widowControl w:val="0"/>
        <w:kinsoku/>
        <w:wordWrap/>
        <w:overflowPunct/>
        <w:topLinePunct w:val="0"/>
        <w:autoSpaceDE/>
        <w:autoSpaceDN/>
        <w:bidi w:val="0"/>
        <w:adjustRightInd/>
        <w:snapToGrid/>
        <w:spacing w:before="145" w:after="145" w:line="450" w:lineRule="exact"/>
        <w:ind w:firstLine="482"/>
        <w:jc w:val="both"/>
        <w:textAlignment w:val="auto"/>
        <w:outlineLvl w:val="2"/>
        <w:rPr>
          <w:rFonts w:ascii="宋体" w:hAnsi="宋体" w:eastAsia="宋体" w:cs="宋体"/>
          <w:b/>
          <w:bCs/>
          <w:color w:val="auto"/>
          <w:sz w:val="32"/>
          <w:szCs w:val="32"/>
          <w:highlight w:val="none"/>
          <w:lang w:val="en-US" w:eastAsia="zh-CN" w:bidi="ar-SA"/>
        </w:rPr>
      </w:pPr>
      <w:bookmarkStart w:id="51" w:name="_Toc18646"/>
      <w:bookmarkStart w:id="52" w:name="_Toc20823285"/>
      <w:bookmarkStart w:id="53" w:name="_Toc16938529"/>
      <w:bookmarkStart w:id="54" w:name="_Toc120614216"/>
      <w:bookmarkStart w:id="55" w:name="_Toc513029213"/>
      <w:bookmarkStart w:id="56" w:name="_Toc462564072"/>
      <w:bookmarkStart w:id="57" w:name="_Toc18017"/>
      <w:r>
        <w:rPr>
          <w:rFonts w:hint="eastAsia" w:ascii="宋体" w:hAnsi="宋体" w:eastAsia="宋体" w:cs="宋体"/>
          <w:b/>
          <w:bCs/>
          <w:color w:val="auto"/>
          <w:sz w:val="32"/>
          <w:szCs w:val="32"/>
          <w:highlight w:val="none"/>
          <w:lang w:val="en-US" w:eastAsia="zh-CN" w:bidi="ar-SA"/>
        </w:rPr>
        <w:t>三、投标文件的编制</w:t>
      </w:r>
      <w:bookmarkEnd w:id="51"/>
      <w:bookmarkEnd w:id="52"/>
      <w:bookmarkEnd w:id="53"/>
      <w:bookmarkEnd w:id="54"/>
      <w:bookmarkEnd w:id="55"/>
      <w:bookmarkEnd w:id="56"/>
      <w:bookmarkEnd w:id="57"/>
    </w:p>
    <w:p w14:paraId="303B555A">
      <w:pPr>
        <w:keepNext/>
        <w:keepLines/>
        <w:pageBreakBefore w:val="0"/>
        <w:widowControl w:val="0"/>
        <w:kinsoku/>
        <w:wordWrap/>
        <w:overflowPunct/>
        <w:topLinePunct w:val="0"/>
        <w:autoSpaceDE/>
        <w:autoSpaceDN/>
        <w:bidi w:val="0"/>
        <w:adjustRightInd/>
        <w:snapToGrid/>
        <w:spacing w:before="0" w:after="0" w:line="450" w:lineRule="exact"/>
        <w:ind w:firstLine="560"/>
        <w:jc w:val="both"/>
        <w:textAlignment w:val="auto"/>
        <w:outlineLvl w:val="3"/>
        <w:rPr>
          <w:rFonts w:ascii="宋体" w:hAnsi="宋体" w:eastAsia="宋体" w:cs="宋体"/>
          <w:b/>
          <w:bCs w:val="0"/>
          <w:color w:val="auto"/>
          <w:sz w:val="28"/>
          <w:szCs w:val="28"/>
          <w:highlight w:val="none"/>
          <w:lang w:val="en-US" w:eastAsia="zh-CN" w:bidi="ar-SA"/>
        </w:rPr>
      </w:pPr>
      <w:bookmarkStart w:id="58" w:name="_Toc20823286"/>
      <w:bookmarkStart w:id="59" w:name="_Toc462564073"/>
      <w:bookmarkStart w:id="60" w:name="_Toc16938530"/>
      <w:bookmarkStart w:id="61" w:name="_Toc513029214"/>
      <w:r>
        <w:rPr>
          <w:rFonts w:hint="eastAsia" w:ascii="宋体" w:hAnsi="宋体" w:eastAsia="宋体" w:cs="宋体"/>
          <w:b w:val="0"/>
          <w:bCs w:val="0"/>
          <w:color w:val="auto"/>
          <w:sz w:val="28"/>
          <w:szCs w:val="28"/>
          <w:highlight w:val="none"/>
          <w:lang w:val="en-US" w:eastAsia="zh-CN" w:bidi="ar-SA"/>
        </w:rPr>
        <w:t>9.投标文件的语言及度量衡单位</w:t>
      </w:r>
      <w:bookmarkEnd w:id="58"/>
      <w:bookmarkEnd w:id="59"/>
      <w:bookmarkEnd w:id="60"/>
      <w:bookmarkEnd w:id="61"/>
    </w:p>
    <w:p w14:paraId="7D3B2C8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 xml:space="preserve"> 投标人提交的投标文件以及投标人与采购人、采购代理机构就有关投标的所有来往通知、函件和文件均应使用简体中文。</w:t>
      </w:r>
    </w:p>
    <w:p w14:paraId="2F7FFF1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9.2 除技术性能另有规定外，投标文件所使用的度量衡单位，均须采用国家法定计量单位。</w:t>
      </w:r>
    </w:p>
    <w:p w14:paraId="6BF5CE8C">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62" w:name="_Toc513029215"/>
      <w:bookmarkStart w:id="63" w:name="_Toc16938531"/>
      <w:bookmarkStart w:id="64" w:name="_Toc20823287"/>
      <w:bookmarkStart w:id="65" w:name="_Toc462564074"/>
      <w:r>
        <w:rPr>
          <w:rFonts w:hint="eastAsia" w:ascii="宋体" w:hAnsi="宋体" w:eastAsia="宋体" w:cs="宋体"/>
          <w:b w:val="0"/>
          <w:bCs w:val="0"/>
          <w:color w:val="auto"/>
          <w:sz w:val="28"/>
          <w:szCs w:val="28"/>
          <w:highlight w:val="none"/>
          <w:lang w:val="en-US" w:eastAsia="zh-CN" w:bidi="ar-SA"/>
        </w:rPr>
        <w:t>10.投标文件构成</w:t>
      </w:r>
      <w:bookmarkEnd w:id="62"/>
      <w:bookmarkEnd w:id="63"/>
      <w:bookmarkEnd w:id="64"/>
      <w:bookmarkEnd w:id="65"/>
    </w:p>
    <w:p w14:paraId="5BF1DA4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10.1 投标人编写的投标文件应包括资格证明文件、符合性证明文件、投标分项报价表、技术要求响应及偏离表、商务要求响应及偏离表、其他证明文件、投标函、开标一览表等部分。</w:t>
      </w:r>
    </w:p>
    <w:p w14:paraId="641AFDD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10.2 如标书制作工具中格式和内容与“江苏政府采购网”发布的招标文件不一致，请以“江苏政府采购网”发布的招标文件为准。</w:t>
      </w:r>
    </w:p>
    <w:p w14:paraId="5C62FFBA">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66" w:name="_Hlt26954838"/>
      <w:bookmarkEnd w:id="66"/>
      <w:bookmarkStart w:id="67" w:name="_Hlt26670360"/>
      <w:bookmarkEnd w:id="67"/>
      <w:bookmarkStart w:id="68" w:name="_Hlt26668975"/>
      <w:bookmarkEnd w:id="68"/>
      <w:bookmarkStart w:id="69" w:name="_Toc513029219"/>
      <w:bookmarkStart w:id="70" w:name="_Toc49090509"/>
      <w:bookmarkStart w:id="71" w:name="_Toc14577357"/>
      <w:bookmarkStart w:id="72" w:name="_Toc49090507"/>
      <w:bookmarkStart w:id="73" w:name="_Toc14577354"/>
      <w:bookmarkStart w:id="74" w:name="_Toc513029216"/>
      <w:r>
        <w:rPr>
          <w:rFonts w:hint="eastAsia" w:ascii="宋体" w:hAnsi="宋体" w:eastAsia="宋体" w:cs="宋体"/>
          <w:b w:val="0"/>
          <w:bCs w:val="0"/>
          <w:color w:val="auto"/>
          <w:sz w:val="28"/>
          <w:szCs w:val="28"/>
          <w:highlight w:val="none"/>
          <w:lang w:val="en-US" w:eastAsia="zh-CN" w:bidi="ar-SA"/>
        </w:rPr>
        <w:t>11.证明投标人及投标标的符合招标文件规定的文件</w:t>
      </w:r>
      <w:bookmarkEnd w:id="69"/>
      <w:bookmarkEnd w:id="70"/>
      <w:bookmarkEnd w:id="71"/>
    </w:p>
    <w:bookmarkEnd w:id="72"/>
    <w:bookmarkEnd w:id="73"/>
    <w:bookmarkEnd w:id="74"/>
    <w:p w14:paraId="6B3BE49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bookmarkStart w:id="75" w:name="_Toc14577355"/>
      <w:bookmarkStart w:id="76" w:name="_Toc49090508"/>
      <w:r>
        <w:rPr>
          <w:rFonts w:hint="eastAsia" w:ascii="宋体" w:hAnsi="宋体" w:eastAsia="宋体" w:cs="宋体"/>
          <w:color w:val="auto"/>
          <w:sz w:val="24"/>
          <w:highlight w:val="none"/>
        </w:rPr>
        <w:t>11.1 投标人应按照法律、法规、规章和规范性文件以及招标文件要求提交证明文件，证明其及投标标的符合招标文件规定。</w:t>
      </w:r>
    </w:p>
    <w:p w14:paraId="5BA6E28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招标文件对证明文件无明确形式要求的，证明文件可以以文字资料、图纸和数据等形式提交。</w:t>
      </w:r>
    </w:p>
    <w:p w14:paraId="7A433FA8">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12.投标分项报价</w:t>
      </w:r>
      <w:bookmarkEnd w:id="75"/>
      <w:bookmarkStart w:id="77" w:name="_Hlt26670373"/>
      <w:bookmarkEnd w:id="77"/>
      <w:r>
        <w:rPr>
          <w:rFonts w:hint="eastAsia" w:ascii="宋体" w:hAnsi="宋体" w:eastAsia="宋体" w:cs="宋体"/>
          <w:b w:val="0"/>
          <w:bCs w:val="0"/>
          <w:color w:val="auto"/>
          <w:sz w:val="28"/>
          <w:szCs w:val="28"/>
          <w:highlight w:val="none"/>
          <w:lang w:val="en-US" w:eastAsia="zh-CN" w:bidi="ar-SA"/>
        </w:rPr>
        <w:t>表</w:t>
      </w:r>
      <w:bookmarkEnd w:id="76"/>
    </w:p>
    <w:p w14:paraId="1CD4A11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12.1 投</w:t>
      </w:r>
      <w:bookmarkStart w:id="78" w:name="_Hlt26954840"/>
      <w:bookmarkEnd w:id="78"/>
      <w:r>
        <w:rPr>
          <w:rFonts w:hint="eastAsia" w:ascii="宋体" w:hAnsi="宋体" w:eastAsia="宋体" w:cs="宋体"/>
          <w:color w:val="auto"/>
          <w:sz w:val="24"/>
          <w:highlight w:val="none"/>
        </w:rPr>
        <w:t>标人应按照招标文件规定格式填报投标分项报价表</w:t>
      </w:r>
      <w:bookmarkStart w:id="79" w:name="_Hlt26670399"/>
      <w:bookmarkEnd w:id="79"/>
      <w:r>
        <w:rPr>
          <w:rFonts w:hint="eastAsia" w:ascii="宋体" w:hAnsi="宋体" w:eastAsia="宋体" w:cs="宋体"/>
          <w:color w:val="auto"/>
          <w:sz w:val="24"/>
          <w:highlight w:val="none"/>
        </w:rPr>
        <w:t>。</w:t>
      </w:r>
    </w:p>
    <w:p w14:paraId="5FABF0E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投标货币。投标文件中的单价和总价无特殊规定的采用人民币报价，以元为单位标注。招标文件中另有规定的按规定执行。</w:t>
      </w:r>
    </w:p>
    <w:p w14:paraId="13CB0E09">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80" w:name="_Hlt26670486"/>
      <w:bookmarkEnd w:id="80"/>
      <w:bookmarkStart w:id="81" w:name="_Hlt26954848"/>
      <w:bookmarkEnd w:id="81"/>
      <w:bookmarkStart w:id="82" w:name="_Hlt26954731"/>
      <w:bookmarkEnd w:id="82"/>
      <w:bookmarkStart w:id="83" w:name="_Hlt26954844"/>
      <w:bookmarkEnd w:id="83"/>
      <w:bookmarkStart w:id="84" w:name="_Hlt26670403"/>
      <w:bookmarkEnd w:id="84"/>
      <w:bookmarkStart w:id="85" w:name="_Hlt26670425"/>
      <w:bookmarkEnd w:id="85"/>
      <w:bookmarkStart w:id="86" w:name="_Hlt26670482"/>
      <w:bookmarkEnd w:id="86"/>
      <w:bookmarkStart w:id="87" w:name="_Hlt26954846"/>
      <w:bookmarkEnd w:id="87"/>
      <w:bookmarkStart w:id="88" w:name="_Hlt26668983"/>
      <w:bookmarkEnd w:id="88"/>
      <w:bookmarkStart w:id="89" w:name="_Hlt26954842"/>
      <w:bookmarkEnd w:id="89"/>
      <w:r>
        <w:rPr>
          <w:rFonts w:hint="eastAsia" w:ascii="宋体" w:hAnsi="宋体" w:eastAsia="宋体" w:cs="宋体"/>
          <w:b w:val="0"/>
          <w:bCs w:val="0"/>
          <w:color w:val="auto"/>
          <w:sz w:val="28"/>
          <w:szCs w:val="28"/>
          <w:highlight w:val="none"/>
          <w:lang w:val="en-US" w:eastAsia="zh-CN" w:bidi="ar-SA"/>
        </w:rPr>
        <w:t>13.技术要求响应及偏离表、商务要求响应及偏离表</w:t>
      </w:r>
    </w:p>
    <w:p w14:paraId="4A97DF5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13.1 投标人需对招标文件中的技术要求与商务要求逐项作出响应或偏离，并说明原因。</w:t>
      </w:r>
    </w:p>
    <w:p w14:paraId="46AE4FAF">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13.2 投标人可在投标文件中提供认为需要的其他技术文件或说明。</w:t>
      </w:r>
    </w:p>
    <w:p w14:paraId="180FAF7E">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90" w:name="_Toc49090510"/>
      <w:bookmarkStart w:id="91" w:name="_Toc14577359"/>
      <w:r>
        <w:rPr>
          <w:rFonts w:hint="eastAsia" w:ascii="宋体" w:hAnsi="宋体" w:eastAsia="宋体" w:cs="宋体"/>
          <w:b w:val="0"/>
          <w:bCs w:val="0"/>
          <w:color w:val="auto"/>
          <w:sz w:val="28"/>
          <w:szCs w:val="28"/>
          <w:highlight w:val="none"/>
          <w:lang w:val="en-US" w:eastAsia="zh-CN" w:bidi="ar-SA"/>
        </w:rPr>
        <w:t>14.投标函和开标一览表</w:t>
      </w:r>
    </w:p>
    <w:p w14:paraId="3C80090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14.1 投标人应按照招标文件中提供的格式完整、正确填写投标函、开标一览表。</w:t>
      </w:r>
    </w:p>
    <w:p w14:paraId="231F4B3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14.2 对于采用货币报价的项目，开标一览表中的投标总报价应与投标分项报价表中的投标总报价一致，如不一致，不作为无效投标处理，但评标时按开标一览表中价格为准。</w:t>
      </w:r>
    </w:p>
    <w:bookmarkEnd w:id="90"/>
    <w:bookmarkEnd w:id="91"/>
    <w:p w14:paraId="6DA844E1">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92" w:name="_Hlt26954850"/>
      <w:bookmarkEnd w:id="92"/>
      <w:bookmarkStart w:id="93" w:name="_Hlt26954734"/>
      <w:bookmarkEnd w:id="93"/>
      <w:bookmarkStart w:id="94" w:name="_Hlt26670489"/>
      <w:bookmarkEnd w:id="94"/>
      <w:bookmarkStart w:id="95" w:name="_Toc14577360"/>
      <w:bookmarkStart w:id="96" w:name="_Toc49090511"/>
      <w:r>
        <w:rPr>
          <w:rFonts w:hint="eastAsia" w:ascii="宋体" w:hAnsi="宋体" w:eastAsia="宋体" w:cs="宋体"/>
          <w:b w:val="0"/>
          <w:bCs w:val="0"/>
          <w:color w:val="auto"/>
          <w:sz w:val="28"/>
          <w:szCs w:val="28"/>
          <w:highlight w:val="none"/>
          <w:lang w:val="en-US" w:eastAsia="zh-CN" w:bidi="ar-SA"/>
        </w:rPr>
        <w:t>15.投标有效期</w:t>
      </w:r>
      <w:bookmarkEnd w:id="95"/>
      <w:bookmarkEnd w:id="96"/>
    </w:p>
    <w:p w14:paraId="7CB76FC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bCs/>
          <w:color w:val="auto"/>
          <w:sz w:val="24"/>
          <w:highlight w:val="none"/>
        </w:rPr>
      </w:pPr>
      <w:r>
        <w:rPr>
          <w:rFonts w:hint="eastAsia" w:ascii="宋体" w:hAnsi="宋体" w:eastAsia="宋体" w:cs="宋体"/>
          <w:bCs/>
          <w:color w:val="auto"/>
          <w:sz w:val="24"/>
          <w:highlight w:val="none"/>
        </w:rPr>
        <w:t>投标有效期为</w:t>
      </w:r>
      <w:r>
        <w:rPr>
          <w:rFonts w:hint="eastAsia" w:ascii="宋体" w:hAnsi="宋体" w:cs="宋体"/>
          <w:bCs/>
          <w:color w:val="auto"/>
          <w:sz w:val="24"/>
          <w:highlight w:val="none"/>
          <w:lang w:val="en-US" w:eastAsia="zh-CN"/>
        </w:rPr>
        <w:t>招标文件</w:t>
      </w:r>
      <w:r>
        <w:rPr>
          <w:rFonts w:hint="eastAsia" w:ascii="宋体" w:hAnsi="宋体" w:cs="宋体"/>
          <w:bCs/>
          <w:color w:val="auto"/>
          <w:sz w:val="24"/>
          <w:highlight w:val="none"/>
        </w:rPr>
        <w:t>规定的</w:t>
      </w:r>
      <w:r>
        <w:rPr>
          <w:rFonts w:hint="eastAsia" w:ascii="宋体" w:hAnsi="宋体" w:cs="宋体"/>
          <w:bCs/>
          <w:color w:val="auto"/>
          <w:sz w:val="24"/>
          <w:highlight w:val="none"/>
          <w:lang w:val="en-US" w:eastAsia="zh-CN"/>
        </w:rPr>
        <w:t>投标文件</w:t>
      </w:r>
      <w:r>
        <w:rPr>
          <w:rFonts w:hint="eastAsia" w:ascii="宋体" w:hAnsi="宋体" w:eastAsia="宋体" w:cs="宋体"/>
          <w:color w:val="auto"/>
          <w:sz w:val="24"/>
          <w:szCs w:val="24"/>
          <w:highlight w:val="none"/>
        </w:rPr>
        <w:t>提交截止时间后</w:t>
      </w:r>
      <w:r>
        <w:rPr>
          <w:rFonts w:hint="eastAsia" w:ascii="宋体" w:hAnsi="宋体" w:eastAsia="宋体" w:cs="宋体"/>
          <w:b/>
          <w:color w:val="auto"/>
          <w:sz w:val="24"/>
          <w:highlight w:val="none"/>
          <w:u w:val="single"/>
        </w:rPr>
        <w:t>六十（60）天</w:t>
      </w:r>
      <w:r>
        <w:rPr>
          <w:rFonts w:hint="eastAsia" w:ascii="宋体" w:hAnsi="宋体" w:eastAsia="宋体" w:cs="宋体"/>
          <w:bCs/>
          <w:color w:val="auto"/>
          <w:sz w:val="24"/>
          <w:highlight w:val="none"/>
        </w:rPr>
        <w:t>。投标有效期比规定短的将被视为未实质性响应招标文件而予以拒绝。</w:t>
      </w:r>
    </w:p>
    <w:p w14:paraId="43377A1E">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16.投标有效期的延长</w:t>
      </w:r>
    </w:p>
    <w:p w14:paraId="388444D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在特殊情况下，</w:t>
      </w:r>
      <w:r>
        <w:rPr>
          <w:rFonts w:hint="eastAsia" w:ascii="宋体" w:hAnsi="宋体" w:eastAsia="宋体" w:cs="宋体"/>
          <w:bCs/>
          <w:color w:val="auto"/>
          <w:sz w:val="24"/>
          <w:highlight w:val="none"/>
        </w:rPr>
        <w:t>采购人</w:t>
      </w:r>
      <w:r>
        <w:rPr>
          <w:rFonts w:hint="eastAsia" w:ascii="宋体" w:hAnsi="宋体" w:eastAsia="宋体" w:cs="宋体"/>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rPr>
        <w:t>采购人</w:t>
      </w:r>
      <w:r>
        <w:rPr>
          <w:rFonts w:hint="eastAsia" w:ascii="宋体" w:hAnsi="宋体" w:eastAsia="宋体" w:cs="宋体"/>
          <w:color w:val="auto"/>
          <w:sz w:val="24"/>
          <w:highlight w:val="none"/>
        </w:rPr>
        <w:t>的这一要求而放弃投标。同意延长投标有效期的投标人既不能要求也不允许修改其投标文件，同时受投标有效期约束的所有权利与义务均延长至新的有效期。</w:t>
      </w:r>
    </w:p>
    <w:p w14:paraId="55EF1331">
      <w:pPr>
        <w:keepNext/>
        <w:keepLines/>
        <w:pageBreakBefore w:val="0"/>
        <w:widowControl w:val="0"/>
        <w:kinsoku/>
        <w:wordWrap/>
        <w:overflowPunct/>
        <w:topLinePunct w:val="0"/>
        <w:autoSpaceDE/>
        <w:autoSpaceDN/>
        <w:bidi w:val="0"/>
        <w:adjustRightInd/>
        <w:snapToGrid/>
        <w:spacing w:before="145" w:after="145" w:line="450" w:lineRule="exact"/>
        <w:ind w:firstLine="482"/>
        <w:jc w:val="both"/>
        <w:textAlignment w:val="auto"/>
        <w:outlineLvl w:val="2"/>
        <w:rPr>
          <w:rFonts w:ascii="宋体" w:hAnsi="宋体" w:eastAsia="宋体" w:cs="宋体"/>
          <w:b/>
          <w:bCs/>
          <w:color w:val="auto"/>
          <w:sz w:val="32"/>
          <w:szCs w:val="32"/>
          <w:highlight w:val="none"/>
          <w:lang w:val="en-US" w:eastAsia="zh-CN" w:bidi="ar-SA"/>
        </w:rPr>
      </w:pPr>
      <w:bookmarkStart w:id="97" w:name="_Hlt26954739"/>
      <w:bookmarkEnd w:id="97"/>
      <w:bookmarkStart w:id="98" w:name="_Hlt26954852"/>
      <w:bookmarkEnd w:id="98"/>
      <w:bookmarkStart w:id="99" w:name="_Toc120614217"/>
      <w:bookmarkStart w:id="100" w:name="_Toc20823296"/>
      <w:bookmarkStart w:id="101" w:name="_Toc22817"/>
      <w:bookmarkStart w:id="102" w:name="_Toc513029224"/>
      <w:bookmarkStart w:id="103" w:name="_Toc16938540"/>
      <w:bookmarkStart w:id="104" w:name="_Toc16170"/>
      <w:r>
        <w:rPr>
          <w:rFonts w:hint="eastAsia" w:ascii="宋体" w:hAnsi="宋体" w:eastAsia="宋体" w:cs="宋体"/>
          <w:b/>
          <w:bCs/>
          <w:color w:val="auto"/>
          <w:sz w:val="32"/>
          <w:szCs w:val="32"/>
          <w:highlight w:val="none"/>
          <w:lang w:val="en-US" w:eastAsia="zh-CN" w:bidi="ar-SA"/>
        </w:rPr>
        <w:t>四、投标文件的递交</w:t>
      </w:r>
      <w:bookmarkEnd w:id="99"/>
      <w:bookmarkEnd w:id="100"/>
      <w:bookmarkEnd w:id="101"/>
      <w:bookmarkEnd w:id="102"/>
      <w:bookmarkEnd w:id="103"/>
      <w:bookmarkEnd w:id="104"/>
    </w:p>
    <w:p w14:paraId="2BE7B002">
      <w:pPr>
        <w:keepNext/>
        <w:keepLines/>
        <w:pageBreakBefore w:val="0"/>
        <w:widowControl w:val="0"/>
        <w:kinsoku/>
        <w:wordWrap/>
        <w:overflowPunct/>
        <w:topLinePunct w:val="0"/>
        <w:autoSpaceDE/>
        <w:autoSpaceDN/>
        <w:bidi w:val="0"/>
        <w:adjustRightInd/>
        <w:snapToGrid/>
        <w:spacing w:before="0" w:after="0" w:line="450" w:lineRule="exact"/>
        <w:ind w:firstLine="560"/>
        <w:jc w:val="both"/>
        <w:textAlignment w:val="auto"/>
        <w:outlineLvl w:val="3"/>
        <w:rPr>
          <w:rFonts w:ascii="宋体" w:hAnsi="宋体" w:eastAsia="宋体" w:cs="宋体"/>
          <w:b w:val="0"/>
          <w:bCs w:val="0"/>
          <w:color w:val="auto"/>
          <w:sz w:val="28"/>
          <w:szCs w:val="28"/>
          <w:highlight w:val="none"/>
          <w:lang w:val="en-US" w:eastAsia="zh-CN" w:bidi="ar-SA"/>
        </w:rPr>
      </w:pPr>
      <w:bookmarkStart w:id="105" w:name="_Toc20823297"/>
      <w:bookmarkStart w:id="106" w:name="_Toc16938541"/>
      <w:bookmarkStart w:id="107" w:name="_Toc462564084"/>
      <w:bookmarkStart w:id="108" w:name="_Toc513029225"/>
      <w:r>
        <w:rPr>
          <w:rFonts w:hint="eastAsia" w:ascii="宋体" w:hAnsi="宋体" w:eastAsia="宋体" w:cs="宋体"/>
          <w:b w:val="0"/>
          <w:bCs w:val="0"/>
          <w:color w:val="auto"/>
          <w:sz w:val="28"/>
          <w:szCs w:val="28"/>
          <w:highlight w:val="none"/>
          <w:lang w:val="en-US" w:eastAsia="zh-CN" w:bidi="ar-SA"/>
        </w:rPr>
        <w:t>17.投标文件</w:t>
      </w:r>
      <w:bookmarkEnd w:id="105"/>
      <w:bookmarkEnd w:id="106"/>
      <w:bookmarkEnd w:id="107"/>
      <w:bookmarkEnd w:id="108"/>
      <w:r>
        <w:rPr>
          <w:rFonts w:hint="eastAsia" w:ascii="宋体" w:hAnsi="宋体" w:eastAsia="宋体" w:cs="宋体"/>
          <w:b w:val="0"/>
          <w:bCs w:val="0"/>
          <w:color w:val="auto"/>
          <w:sz w:val="28"/>
          <w:szCs w:val="28"/>
          <w:highlight w:val="none"/>
          <w:lang w:val="en-US" w:eastAsia="zh-CN" w:bidi="ar-SA"/>
        </w:rPr>
        <w:t>的递交</w:t>
      </w:r>
    </w:p>
    <w:p w14:paraId="762CF47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投标人应当按照《操作手册》规定，在投标截止时间前制作并上传电子投标文件。</w:t>
      </w:r>
      <w:bookmarkStart w:id="109" w:name="_Toc513029226"/>
      <w:bookmarkStart w:id="110" w:name="_Toc20823298"/>
      <w:bookmarkStart w:id="111" w:name="_Toc16938542"/>
    </w:p>
    <w:p w14:paraId="4511A4B0">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18.投标截止</w:t>
      </w:r>
      <w:bookmarkEnd w:id="109"/>
      <w:bookmarkEnd w:id="110"/>
      <w:bookmarkEnd w:id="111"/>
      <w:r>
        <w:rPr>
          <w:rFonts w:hint="eastAsia" w:ascii="宋体" w:hAnsi="宋体" w:eastAsia="宋体" w:cs="宋体"/>
          <w:b w:val="0"/>
          <w:bCs w:val="0"/>
          <w:color w:val="auto"/>
          <w:sz w:val="28"/>
          <w:szCs w:val="28"/>
          <w:highlight w:val="none"/>
          <w:lang w:val="en-US" w:eastAsia="zh-CN" w:bidi="ar-SA"/>
        </w:rPr>
        <w:t>时间</w:t>
      </w:r>
    </w:p>
    <w:p w14:paraId="5410993D">
      <w:pPr>
        <w:pageBreakBefore w:val="0"/>
        <w:kinsoku/>
        <w:wordWrap/>
        <w:overflowPunct/>
        <w:topLinePunct w:val="0"/>
        <w:autoSpaceDE/>
        <w:autoSpaceDN/>
        <w:bidi w:val="0"/>
        <w:adjustRightInd/>
        <w:snapToGrid/>
        <w:spacing w:line="450" w:lineRule="exact"/>
        <w:ind w:firstLine="482"/>
        <w:textAlignment w:val="auto"/>
        <w:rPr>
          <w:rFonts w:ascii="宋体" w:hAnsi="宋体" w:eastAsia="宋体" w:cs="宋体"/>
          <w:color w:val="auto"/>
          <w:sz w:val="24"/>
          <w:highlight w:val="none"/>
        </w:rPr>
      </w:pPr>
      <w:r>
        <w:rPr>
          <w:rFonts w:hint="eastAsia" w:ascii="宋体" w:hAnsi="宋体" w:eastAsia="宋体" w:cs="宋体"/>
          <w:b/>
          <w:bCs/>
          <w:color w:val="auto"/>
          <w:sz w:val="24"/>
          <w:highlight w:val="none"/>
          <w:u w:val="single"/>
        </w:rPr>
        <w:t>18.1 投标人上传电子投标文件的时间不得迟于招标公告中规定的投标截止时间</w:t>
      </w:r>
      <w:r>
        <w:rPr>
          <w:rFonts w:hint="eastAsia" w:ascii="宋体" w:hAnsi="宋体" w:eastAsia="宋体" w:cs="宋体"/>
          <w:color w:val="auto"/>
          <w:sz w:val="24"/>
          <w:highlight w:val="none"/>
        </w:rPr>
        <w:t>。</w:t>
      </w:r>
    </w:p>
    <w:p w14:paraId="3DD7DEFF">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投标人应充分考虑网络环境、网络带宽等风险因素，如因投标人自身原因造成的电子投标文件上传不成功的按照本招标文件第二章第26.1.2条 规定做无效投标处理。</w:t>
      </w:r>
    </w:p>
    <w:p w14:paraId="42D5DDF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18.2 采购人可以按照规定，通过修改招标文件酌情延长投标截止时间，在此情况下，投标人的所有权利和义务以及投标人受制的截止时间均应以延长后新的截止时间为准。</w:t>
      </w:r>
    </w:p>
    <w:p w14:paraId="47A6BCBE">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12" w:name="_Toc20823299"/>
      <w:bookmarkStart w:id="113" w:name="_Toc16938543"/>
      <w:bookmarkStart w:id="114" w:name="_Toc513029227"/>
      <w:r>
        <w:rPr>
          <w:rFonts w:hint="eastAsia" w:ascii="宋体" w:hAnsi="宋体" w:eastAsia="宋体" w:cs="宋体"/>
          <w:b w:val="0"/>
          <w:bCs w:val="0"/>
          <w:color w:val="auto"/>
          <w:sz w:val="28"/>
          <w:szCs w:val="28"/>
          <w:highlight w:val="none"/>
          <w:lang w:val="en-US" w:eastAsia="zh-CN" w:bidi="ar-SA"/>
        </w:rPr>
        <w:t>19.投标文件</w:t>
      </w:r>
      <w:bookmarkEnd w:id="112"/>
      <w:bookmarkEnd w:id="113"/>
      <w:bookmarkEnd w:id="114"/>
      <w:r>
        <w:rPr>
          <w:rFonts w:hint="eastAsia" w:ascii="宋体" w:hAnsi="宋体" w:eastAsia="宋体" w:cs="宋体"/>
          <w:b w:val="0"/>
          <w:bCs w:val="0"/>
          <w:color w:val="auto"/>
          <w:sz w:val="28"/>
          <w:szCs w:val="28"/>
          <w:highlight w:val="none"/>
          <w:lang w:val="en-US" w:eastAsia="zh-CN" w:bidi="ar-SA"/>
        </w:rPr>
        <w:t>的拒收</w:t>
      </w:r>
    </w:p>
    <w:p w14:paraId="709E02C7">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采购人或采购代理机构拒绝接收在其规定的投标截止时间后上传的任何投标文件。</w:t>
      </w:r>
    </w:p>
    <w:p w14:paraId="23D48899">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15" w:name="_Toc513029228"/>
      <w:bookmarkStart w:id="116" w:name="_Toc20823300"/>
      <w:bookmarkStart w:id="117" w:name="_Toc16938544"/>
      <w:r>
        <w:rPr>
          <w:rFonts w:hint="eastAsia" w:ascii="宋体" w:hAnsi="宋体" w:eastAsia="宋体" w:cs="宋体"/>
          <w:b w:val="0"/>
          <w:bCs w:val="0"/>
          <w:color w:val="auto"/>
          <w:sz w:val="28"/>
          <w:szCs w:val="28"/>
          <w:highlight w:val="none"/>
          <w:lang w:val="en-US" w:eastAsia="zh-CN" w:bidi="ar-SA"/>
        </w:rPr>
        <w:t>20、投标文件的撤回和修改</w:t>
      </w:r>
      <w:bookmarkEnd w:id="115"/>
      <w:bookmarkEnd w:id="116"/>
      <w:bookmarkEnd w:id="117"/>
    </w:p>
    <w:p w14:paraId="0A4CBBA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20.1 投标文件的撤回</w:t>
      </w:r>
    </w:p>
    <w:p w14:paraId="2E6474B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21.1.1 电子投标文件的撤回</w:t>
      </w:r>
    </w:p>
    <w:p w14:paraId="4772187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25E6E3B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21.1.2 投标人撤回电子投标文件，则认为其不再参与本项目投标活动。</w:t>
      </w:r>
    </w:p>
    <w:p w14:paraId="572490C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20.2 投标文件的修改</w:t>
      </w:r>
    </w:p>
    <w:p w14:paraId="45FDEC0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3110E1F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20.2.2 在投标截止时间之后，投标人不得对其电子投标文件作任何修改。</w:t>
      </w:r>
    </w:p>
    <w:p w14:paraId="21FCB3A9">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20.3 在投标截止时间至招标文件中规定的投标有效期满之间的这段时间内，投标人不得撤回其投标。</w:t>
      </w:r>
    </w:p>
    <w:p w14:paraId="77D37993">
      <w:pPr>
        <w:keepNext/>
        <w:keepLines/>
        <w:pageBreakBefore w:val="0"/>
        <w:widowControl w:val="0"/>
        <w:kinsoku/>
        <w:wordWrap/>
        <w:overflowPunct/>
        <w:topLinePunct w:val="0"/>
        <w:autoSpaceDE/>
        <w:autoSpaceDN/>
        <w:bidi w:val="0"/>
        <w:adjustRightInd/>
        <w:snapToGrid/>
        <w:spacing w:before="145" w:after="145" w:line="450" w:lineRule="exact"/>
        <w:ind w:firstLine="482"/>
        <w:jc w:val="both"/>
        <w:textAlignment w:val="auto"/>
        <w:outlineLvl w:val="2"/>
        <w:rPr>
          <w:rFonts w:ascii="宋体" w:hAnsi="宋体" w:eastAsia="宋体" w:cs="宋体"/>
          <w:b/>
          <w:bCs/>
          <w:color w:val="auto"/>
          <w:sz w:val="32"/>
          <w:szCs w:val="32"/>
          <w:highlight w:val="none"/>
          <w:lang w:val="en-US" w:eastAsia="zh-CN" w:bidi="ar-SA"/>
        </w:rPr>
      </w:pPr>
      <w:bookmarkStart w:id="118" w:name="_Toc109"/>
      <w:bookmarkStart w:id="119" w:name="_Toc120614218"/>
      <w:bookmarkStart w:id="120" w:name="_Toc16938545"/>
      <w:bookmarkStart w:id="121" w:name="_Toc9761"/>
      <w:bookmarkStart w:id="122" w:name="_Toc20823301"/>
      <w:bookmarkStart w:id="123" w:name="_Toc513029229"/>
      <w:r>
        <w:rPr>
          <w:rFonts w:hint="eastAsia" w:ascii="宋体" w:hAnsi="宋体" w:eastAsia="宋体" w:cs="宋体"/>
          <w:b/>
          <w:bCs/>
          <w:color w:val="auto"/>
          <w:sz w:val="32"/>
          <w:szCs w:val="32"/>
          <w:highlight w:val="none"/>
          <w:lang w:val="en-US" w:eastAsia="zh-CN" w:bidi="ar-SA"/>
        </w:rPr>
        <w:t>五、开标与评标</w:t>
      </w:r>
      <w:bookmarkEnd w:id="118"/>
      <w:bookmarkEnd w:id="119"/>
      <w:bookmarkEnd w:id="120"/>
      <w:bookmarkEnd w:id="121"/>
      <w:bookmarkEnd w:id="122"/>
      <w:bookmarkEnd w:id="123"/>
    </w:p>
    <w:p w14:paraId="1AED646E">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24" w:name="_Toc16938546"/>
      <w:bookmarkStart w:id="125" w:name="_Toc20823302"/>
      <w:bookmarkStart w:id="126" w:name="_Toc513029230"/>
      <w:r>
        <w:rPr>
          <w:rFonts w:hint="eastAsia" w:ascii="宋体" w:hAnsi="宋体" w:eastAsia="宋体" w:cs="宋体"/>
          <w:b w:val="0"/>
          <w:bCs w:val="0"/>
          <w:color w:val="auto"/>
          <w:sz w:val="28"/>
          <w:szCs w:val="28"/>
          <w:highlight w:val="none"/>
          <w:lang w:val="en-US" w:eastAsia="zh-CN" w:bidi="ar-SA"/>
        </w:rPr>
        <w:t>21.开标</w:t>
      </w:r>
      <w:bookmarkEnd w:id="124"/>
      <w:bookmarkEnd w:id="125"/>
      <w:bookmarkEnd w:id="126"/>
    </w:p>
    <w:p w14:paraId="5C0A9F2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21.1 采购人将在招标公告中规定的时间和地点组织公开开标。投标人应当按照《操作手册》规定，参加开标活动和在苏采云系统规定的时间内对投标文件进行解密。</w:t>
      </w:r>
    </w:p>
    <w:p w14:paraId="65BBE5A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开标仪式由采购代理机构组织。苏采云系统将自动对项目进行开标，并宣布各投标人名称和投标价格。</w:t>
      </w:r>
    </w:p>
    <w:p w14:paraId="0F09251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投标人在开标过程中涉及的投标文件解密、开标结果确认等工作，应按照《操作手册》规定执行。</w:t>
      </w:r>
    </w:p>
    <w:p w14:paraId="344692F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投标人如果对开标过程和开标记录有疑义，应当根据《操作手册》规定提出，如苏采云系统中《开标记录表》宣布后5分钟内未提出的，视同认可开标结果。</w:t>
      </w:r>
    </w:p>
    <w:p w14:paraId="044E07CF">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27" w:name="_Toc513029231"/>
      <w:bookmarkStart w:id="128" w:name="_Toc20823303"/>
      <w:bookmarkStart w:id="129" w:name="_Toc16938547"/>
      <w:r>
        <w:rPr>
          <w:rFonts w:hint="eastAsia" w:ascii="宋体" w:hAnsi="宋体" w:eastAsia="宋体" w:cs="宋体"/>
          <w:b w:val="0"/>
          <w:bCs w:val="0"/>
          <w:color w:val="auto"/>
          <w:sz w:val="28"/>
          <w:szCs w:val="28"/>
          <w:highlight w:val="none"/>
          <w:lang w:val="en-US" w:eastAsia="zh-CN" w:bidi="ar-SA"/>
        </w:rPr>
        <w:t>22、评标委员会</w:t>
      </w:r>
    </w:p>
    <w:p w14:paraId="00DFA91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22.1 开标后，采购人将立即组织评标委员会（以下简称评委会）进行评标。</w:t>
      </w:r>
    </w:p>
    <w:p w14:paraId="425AB65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22.2 评委会由采购人代表和有关技术、经济等方面的专家组成，且人员构成符合政府采购有关规定。</w:t>
      </w:r>
    </w:p>
    <w:p w14:paraId="02205FC7">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评委会独立工作，负责评审所有投标文件并确定中标候选人。</w:t>
      </w:r>
    </w:p>
    <w:p w14:paraId="603B868B">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23.评标过程的保密与公正</w:t>
      </w:r>
    </w:p>
    <w:bookmarkEnd w:id="127"/>
    <w:bookmarkEnd w:id="128"/>
    <w:bookmarkEnd w:id="129"/>
    <w:p w14:paraId="70E0D46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凡是与审查、澄清、评价和比较投标的有关资料以及投标建议等，采购人、评委、采购代理机构均不得向投标人或与评标无关的其他人员透露。</w:t>
      </w:r>
    </w:p>
    <w:p w14:paraId="1ED2785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在评标过程中，投标人不得以任何行为影响评标过程，否则其投标文件将被作为无效投标文件。</w:t>
      </w:r>
    </w:p>
    <w:p w14:paraId="2936EF0F">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23.3 采购人、采购代理机构和评标委员会不向未中标的投标人解释未中标原因，也不公布评标过程中的相关细节。</w:t>
      </w:r>
    </w:p>
    <w:p w14:paraId="316FA46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23.4 采用综合评分法的项目，未中标的投标人可于中标结果公告期限届满之日起通过苏采云系统查看自己的评审得分及排序情况。</w:t>
      </w:r>
    </w:p>
    <w:p w14:paraId="693B241E">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30" w:name="_Toc16938548"/>
      <w:bookmarkStart w:id="131" w:name="_Toc20823304"/>
      <w:bookmarkStart w:id="132" w:name="_Toc513029232"/>
      <w:r>
        <w:rPr>
          <w:rFonts w:hint="eastAsia" w:ascii="宋体" w:hAnsi="宋体" w:eastAsia="宋体" w:cs="宋体"/>
          <w:b w:val="0"/>
          <w:bCs w:val="0"/>
          <w:color w:val="auto"/>
          <w:sz w:val="28"/>
          <w:szCs w:val="28"/>
          <w:highlight w:val="none"/>
          <w:lang w:val="en-US" w:eastAsia="zh-CN" w:bidi="ar-SA"/>
        </w:rPr>
        <w:t>24.投标文件的澄清</w:t>
      </w:r>
      <w:bookmarkEnd w:id="130"/>
      <w:bookmarkEnd w:id="131"/>
      <w:bookmarkEnd w:id="132"/>
    </w:p>
    <w:p w14:paraId="736BCD1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评标期间，评委会对投标文件中含义不明确、同类问题表述不一致或者有明显文字和计算错误的内容 ，有权要求投标人作出必要的澄清、说明或者补正。</w:t>
      </w:r>
    </w:p>
    <w:p w14:paraId="30DAD00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投标人的澄清、说明或者补正不得超出投标文件的范围或者改变投标文件的实质性内容。</w:t>
      </w:r>
    </w:p>
    <w:p w14:paraId="7CAFCBF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评标委员会并非对每个投标人都做澄清要求。</w:t>
      </w:r>
    </w:p>
    <w:p w14:paraId="325AA04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24.2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0ABC18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24.3 接到评委会澄清、说明和补正要求的投标人如未按规定做出澄清、说明和补正，其风险由投标人自行承担。</w:t>
      </w:r>
    </w:p>
    <w:p w14:paraId="49E59837">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bookmarkStart w:id="133" w:name="_Toc513029233"/>
      <w:bookmarkStart w:id="134" w:name="_Toc20823305"/>
      <w:bookmarkStart w:id="135" w:name="_Toc16938549"/>
      <w:r>
        <w:rPr>
          <w:rFonts w:hint="eastAsia" w:ascii="宋体" w:hAnsi="宋体" w:eastAsia="宋体" w:cs="宋体"/>
          <w:b w:val="0"/>
          <w:bCs w:val="0"/>
          <w:color w:val="auto"/>
          <w:sz w:val="28"/>
          <w:szCs w:val="28"/>
          <w:highlight w:val="none"/>
          <w:lang w:val="en-US" w:eastAsia="zh-CN" w:bidi="ar-SA"/>
        </w:rPr>
        <w:t>25.对投标文件的初审</w:t>
      </w:r>
      <w:bookmarkEnd w:id="133"/>
      <w:bookmarkEnd w:id="134"/>
      <w:bookmarkEnd w:id="135"/>
    </w:p>
    <w:p w14:paraId="3D3CDF7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投标文件初审分为资格审查和符合性审查。</w:t>
      </w:r>
    </w:p>
    <w:p w14:paraId="596600C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25.1.1 资格审查：依据法律法规和招标文件的规定，由采购人对投标文件中的资格证明文件进行审查。资格审查的结论，采购人以书面形式向评委会进行反馈。</w:t>
      </w:r>
    </w:p>
    <w:p w14:paraId="24A983CE">
      <w:pPr>
        <w:pageBreakBefore w:val="0"/>
        <w:kinsoku/>
        <w:wordWrap/>
        <w:overflowPunct/>
        <w:topLinePunct w:val="0"/>
        <w:autoSpaceDE/>
        <w:autoSpaceDN/>
        <w:bidi w:val="0"/>
        <w:adjustRightInd/>
        <w:snapToGrid/>
        <w:spacing w:line="45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采购人在进行资格性审查的同时，将在“信用中国”网站（www.creditchina.gov.cn）查询投标人的信用记录，以确定投标人是否具备投标资格,查询结果留存并归档。</w:t>
      </w:r>
    </w:p>
    <w:p w14:paraId="5BC9986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9134D0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25.1.2 符合性审查：依据招标文件的规定，由评委会从投标文件的有效性、完整性和对招标文件的响应程度进行审查，以确定是否对招标文件的实质性要求作出响应。</w:t>
      </w:r>
    </w:p>
    <w:p w14:paraId="4388271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25.1.3 未通过资格审查或符合性审查的投标人，采购代理机构将在苏采云系统中告知未通过资格审查或符合性审查的原因，评标结束后，采购人或采购代理机构将不再告知未通过资格审查和符合性审查的原因。</w:t>
      </w:r>
    </w:p>
    <w:p w14:paraId="2582D0E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B48C3A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AA3B8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如果投标文件实质上没有响应招标文件的要求，评委会将予以拒绝，投标人不得通过修改或撤销不合要求的偏离或保留而使其投标成为实质性响应的投标。</w:t>
      </w:r>
    </w:p>
    <w:p w14:paraId="1ECDF92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评委会将对确定为实质性响应的投标进行进一步审核，确定其是否有计算上或累加上的算术错误，修正错误的原则如下：</w:t>
      </w:r>
    </w:p>
    <w:p w14:paraId="130A57F9">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14:paraId="68685D0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14:paraId="337F6A0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14:paraId="1C823A3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14:paraId="5B207AF7">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同时出现两种以上错误的，按照前款规定的顺序修正。</w:t>
      </w:r>
    </w:p>
    <w:p w14:paraId="6F42EB5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25.5 评委会将按上述修正错误的方法调整投标文件中的投标报价，并通过苏采云系统告知投标人，调整后的价格应对投标人具有约束力。如果投标人不接受修正后的价格，则其投标将被拒绝。</w:t>
      </w:r>
    </w:p>
    <w:p w14:paraId="6E7FBA9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bookmarkStart w:id="136" w:name="_Toc20823306"/>
      <w:bookmarkStart w:id="137" w:name="_Toc513029234"/>
      <w:bookmarkStart w:id="138" w:name="_Toc16938550"/>
      <w:r>
        <w:rPr>
          <w:rFonts w:hint="eastAsia" w:ascii="宋体" w:hAnsi="宋体" w:eastAsia="宋体" w:cs="宋体"/>
          <w:color w:val="auto"/>
          <w:sz w:val="24"/>
          <w:highlight w:val="none"/>
        </w:rPr>
        <w:t>25.6</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投标人在开、评标全过程中应保持通讯畅通，及时登录苏采云系统查阅、答复相关信息，并安排专人与采购人、采购代理机构及评标委员会联系。</w:t>
      </w:r>
    </w:p>
    <w:p w14:paraId="0C743FA2">
      <w:pPr>
        <w:keepNext/>
        <w:keepLines/>
        <w:pageBreakBefore w:val="0"/>
        <w:widowControl w:val="0"/>
        <w:kinsoku/>
        <w:wordWrap/>
        <w:overflowPunct/>
        <w:topLinePunct w:val="0"/>
        <w:autoSpaceDE/>
        <w:autoSpaceDN/>
        <w:bidi w:val="0"/>
        <w:adjustRightInd/>
        <w:snapToGrid/>
        <w:spacing w:before="0" w:after="0" w:line="450" w:lineRule="exact"/>
        <w:ind w:firstLine="420"/>
        <w:jc w:val="both"/>
        <w:textAlignment w:val="auto"/>
        <w:outlineLvl w:val="3"/>
        <w:rPr>
          <w:rFonts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26</w:t>
      </w:r>
      <w:bookmarkEnd w:id="136"/>
      <w:bookmarkEnd w:id="137"/>
      <w:bookmarkEnd w:id="138"/>
      <w:r>
        <w:rPr>
          <w:rFonts w:hint="eastAsia" w:ascii="宋体" w:hAnsi="宋体" w:eastAsia="宋体" w:cs="宋体"/>
          <w:b w:val="0"/>
          <w:bCs w:val="0"/>
          <w:color w:val="auto"/>
          <w:sz w:val="28"/>
          <w:szCs w:val="28"/>
          <w:highlight w:val="none"/>
          <w:lang w:val="en-US" w:eastAsia="zh-CN" w:bidi="ar-SA"/>
        </w:rPr>
        <w:t>.无效投标条款和废标条款</w:t>
      </w:r>
    </w:p>
    <w:p w14:paraId="57E0DB3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bookmarkStart w:id="139" w:name="_Toc513029235"/>
      <w:bookmarkStart w:id="140" w:name="_Toc16938551"/>
      <w:bookmarkStart w:id="141" w:name="_Toc20823307"/>
      <w:r>
        <w:rPr>
          <w:rFonts w:hint="eastAsia" w:ascii="宋体" w:hAnsi="宋体" w:eastAsia="宋体" w:cs="宋体"/>
          <w:color w:val="auto"/>
          <w:sz w:val="24"/>
          <w:highlight w:val="none"/>
        </w:rPr>
        <w:t>26.1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无效投标条款</w:t>
      </w:r>
    </w:p>
    <w:p w14:paraId="2ACB0A4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26.1.1 投标人在苏采云系统规定的时间内未成功解密电子投标文件的。</w:t>
      </w:r>
    </w:p>
    <w:p w14:paraId="54ACC1D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26.1.2 投标人未按照招标文件要求上传电子投标文件的。</w:t>
      </w:r>
    </w:p>
    <w:p w14:paraId="3991236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同一投标人提交两个（含两个）以上不同的投标报价的。</w:t>
      </w:r>
    </w:p>
    <w:p w14:paraId="781816C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投标人不具备招标文件中规定资格要求的。</w:t>
      </w:r>
    </w:p>
    <w:p w14:paraId="67BC983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投标人的报价超过了采购预算或最高限价的。</w:t>
      </w:r>
    </w:p>
    <w:p w14:paraId="0140945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26.1.6</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未通过符合性审查的。</w:t>
      </w:r>
    </w:p>
    <w:p w14:paraId="2907192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26.1.7</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不符合招标文件中规定的实质性要求和条件的。</w:t>
      </w:r>
    </w:p>
    <w:p w14:paraId="1976AE2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BF2A9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26.1.9 投标文件含有采购人不能接受的附加条件的。</w:t>
      </w:r>
    </w:p>
    <w:p w14:paraId="3F1BE4B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26.1.10</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67FC3C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26.1.11 投标文件未按照招标文件要求加盖CA电子公章的。</w:t>
      </w:r>
    </w:p>
    <w:p w14:paraId="025A43E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26.1.12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其他法律、法规及本招标文件规定的属无效投标的情形。</w:t>
      </w:r>
    </w:p>
    <w:p w14:paraId="2A1FCA4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废标条款</w:t>
      </w:r>
    </w:p>
    <w:p w14:paraId="668EDB86">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26.2.1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符合专业条件的供应商或者对招标文件作实质响应的供应商不足三家的。</w:t>
      </w:r>
    </w:p>
    <w:p w14:paraId="39F6A0B7">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出现影响采购公正的违法、违规行为的。</w:t>
      </w:r>
    </w:p>
    <w:p w14:paraId="138FCAA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因重大变故，采购任务取消的。</w:t>
      </w:r>
    </w:p>
    <w:p w14:paraId="478C556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26.2.4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评标委员会认定招标文件存在歧义、重大缺陷导致评审工作无法进行。</w:t>
      </w:r>
    </w:p>
    <w:p w14:paraId="0B14A46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26.2.5 因苏采云系统故障原因造成开标不成功的。</w:t>
      </w:r>
    </w:p>
    <w:p w14:paraId="71EAEDA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26.3 投标截止时间结束后参加投标的供应商不足三家的处理：</w:t>
      </w:r>
    </w:p>
    <w:p w14:paraId="0E84C0D2">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26.3.1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如出现投标截止时间结束后参加投标的供应商或者在评标期间对招标文件做出实质响应的供应商不足三家情况，按政府采购相关规定执行。</w:t>
      </w:r>
    </w:p>
    <w:p w14:paraId="6587A030">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26.4 政府采购异常低价审查： </w:t>
      </w:r>
    </w:p>
    <w:p w14:paraId="2662CBE4">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（1）评审过程中出现下列情形之一的，评审委员会应当启动异常低价投标（响应）审查程序：</w:t>
      </w:r>
    </w:p>
    <w:p w14:paraId="0069C802">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①投标（响应）报价低于全部通过符合性审查投标人投标（响应）报价平均值50%的，即投标（响应）报价&lt;全部通过符合性审查投标人投标（响应）报价平均值×50%；</w:t>
      </w:r>
    </w:p>
    <w:p w14:paraId="256CAF74">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②投标（响应）报价低于通过符合性审查的次低报价投标人投标（响应）报价50%的，即投标（响应）报价&lt;通过符合性审查的次低报价投标人投标（响应）报价×50%；</w:t>
      </w:r>
    </w:p>
    <w:p w14:paraId="6232AED7">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③投标（响应）报价低于采购项目最高限价45%的，即投标（响应）报价&lt;采购项目最高限价×45%；</w:t>
      </w:r>
    </w:p>
    <w:p w14:paraId="639E0CA7">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④评审委员会基于专业判断，认为投标人报价过低，有可能影响产品质量或者不能诚信履约的其他情形。</w:t>
      </w:r>
    </w:p>
    <w:p w14:paraId="3738367B">
      <w:pPr>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
          <w:bCs/>
          <w:color w:val="auto"/>
          <w:sz w:val="24"/>
          <w:highlight w:val="none"/>
          <w:lang w:val="en-US" w:eastAsia="en-US"/>
        </w:rPr>
      </w:pPr>
      <w:r>
        <w:rPr>
          <w:rFonts w:hint="eastAsia" w:ascii="宋体" w:hAnsi="宋体" w:eastAsia="宋体" w:cs="宋体"/>
          <w:b/>
          <w:bCs/>
          <w:color w:val="auto"/>
          <w:sz w:val="24"/>
          <w:highlight w:val="none"/>
          <w:lang w:val="en-US"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p>
    <w:p w14:paraId="542B354D">
      <w:pPr>
        <w:keepNext/>
        <w:keepLines/>
        <w:pageBreakBefore w:val="0"/>
        <w:widowControl w:val="0"/>
        <w:kinsoku/>
        <w:wordWrap/>
        <w:overflowPunct/>
        <w:topLinePunct w:val="0"/>
        <w:autoSpaceDE/>
        <w:autoSpaceDN/>
        <w:bidi w:val="0"/>
        <w:adjustRightInd/>
        <w:snapToGrid/>
        <w:spacing w:before="145" w:after="145" w:line="450" w:lineRule="exact"/>
        <w:ind w:firstLine="482"/>
        <w:jc w:val="both"/>
        <w:textAlignment w:val="auto"/>
        <w:outlineLvl w:val="2"/>
        <w:rPr>
          <w:rFonts w:ascii="宋体" w:hAnsi="宋体" w:eastAsia="宋体" w:cs="宋体"/>
          <w:b/>
          <w:bCs/>
          <w:color w:val="auto"/>
          <w:sz w:val="32"/>
          <w:szCs w:val="32"/>
          <w:highlight w:val="none"/>
          <w:lang w:val="en-US" w:eastAsia="zh-CN" w:bidi="ar-SA"/>
        </w:rPr>
      </w:pPr>
      <w:bookmarkStart w:id="142" w:name="_Toc120614219"/>
      <w:bookmarkStart w:id="143" w:name="_Toc31095"/>
      <w:bookmarkStart w:id="144" w:name="_Toc3443"/>
      <w:r>
        <w:rPr>
          <w:rFonts w:hint="eastAsia" w:ascii="宋体" w:hAnsi="宋体" w:eastAsia="宋体" w:cs="宋体"/>
          <w:b/>
          <w:bCs/>
          <w:color w:val="auto"/>
          <w:sz w:val="32"/>
          <w:szCs w:val="32"/>
          <w:highlight w:val="none"/>
          <w:lang w:val="en-US" w:eastAsia="zh-CN" w:bidi="ar-SA"/>
        </w:rPr>
        <w:t>六、</w:t>
      </w:r>
      <w:bookmarkEnd w:id="139"/>
      <w:bookmarkEnd w:id="140"/>
      <w:bookmarkEnd w:id="141"/>
      <w:r>
        <w:rPr>
          <w:rFonts w:hint="eastAsia" w:ascii="宋体" w:hAnsi="宋体" w:eastAsia="宋体" w:cs="宋体"/>
          <w:b/>
          <w:bCs/>
          <w:color w:val="auto"/>
          <w:sz w:val="32"/>
          <w:szCs w:val="32"/>
          <w:highlight w:val="none"/>
          <w:lang w:val="en-US" w:eastAsia="zh-CN" w:bidi="ar-SA"/>
        </w:rPr>
        <w:t>定标</w:t>
      </w:r>
      <w:bookmarkEnd w:id="142"/>
      <w:bookmarkEnd w:id="143"/>
      <w:bookmarkEnd w:id="144"/>
    </w:p>
    <w:p w14:paraId="5CD08E4B">
      <w:pPr>
        <w:keepNext/>
        <w:keepLines/>
        <w:pageBreakBefore w:val="0"/>
        <w:widowControl w:val="0"/>
        <w:kinsoku/>
        <w:wordWrap/>
        <w:overflowPunct/>
        <w:topLinePunct w:val="0"/>
        <w:autoSpaceDE/>
        <w:autoSpaceDN/>
        <w:bidi w:val="0"/>
        <w:adjustRightInd/>
        <w:snapToGrid/>
        <w:spacing w:before="0" w:after="0" w:line="450" w:lineRule="exact"/>
        <w:ind w:firstLine="600"/>
        <w:jc w:val="both"/>
        <w:textAlignment w:val="auto"/>
        <w:outlineLvl w:val="3"/>
        <w:rPr>
          <w:rFonts w:ascii="宋体" w:hAnsi="宋体" w:eastAsia="宋体" w:cs="宋体"/>
          <w:b w:val="0"/>
          <w:bCs/>
          <w:color w:val="auto"/>
          <w:sz w:val="30"/>
          <w:szCs w:val="30"/>
          <w:highlight w:val="none"/>
          <w:lang w:val="en-US" w:eastAsia="zh-CN" w:bidi="ar-SA"/>
        </w:rPr>
      </w:pPr>
      <w:bookmarkStart w:id="145" w:name="_Toc513029238"/>
      <w:bookmarkStart w:id="146" w:name="_Toc16938554"/>
      <w:bookmarkStart w:id="147" w:name="_Toc20823310"/>
      <w:r>
        <w:rPr>
          <w:rFonts w:hint="eastAsia" w:ascii="宋体" w:hAnsi="宋体" w:eastAsia="宋体" w:cs="宋体"/>
          <w:b w:val="0"/>
          <w:bCs/>
          <w:color w:val="auto"/>
          <w:sz w:val="30"/>
          <w:szCs w:val="30"/>
          <w:highlight w:val="none"/>
          <w:lang w:val="en-US" w:eastAsia="zh-CN" w:bidi="ar-SA"/>
        </w:rPr>
        <w:t>27</w:t>
      </w:r>
      <w:bookmarkEnd w:id="145"/>
      <w:r>
        <w:rPr>
          <w:rFonts w:hint="eastAsia" w:ascii="宋体" w:hAnsi="宋体" w:eastAsia="宋体" w:cs="宋体"/>
          <w:b w:val="0"/>
          <w:bCs/>
          <w:color w:val="auto"/>
          <w:sz w:val="30"/>
          <w:szCs w:val="30"/>
          <w:highlight w:val="none"/>
          <w:lang w:val="en-US" w:eastAsia="zh-CN" w:bidi="ar-SA"/>
        </w:rPr>
        <w:t>.确定</w:t>
      </w:r>
      <w:bookmarkEnd w:id="146"/>
      <w:bookmarkEnd w:id="147"/>
      <w:r>
        <w:rPr>
          <w:rFonts w:hint="eastAsia" w:ascii="宋体" w:hAnsi="宋体" w:eastAsia="宋体" w:cs="宋体"/>
          <w:b w:val="0"/>
          <w:bCs/>
          <w:color w:val="auto"/>
          <w:sz w:val="30"/>
          <w:szCs w:val="30"/>
          <w:highlight w:val="none"/>
          <w:lang w:val="en-US" w:eastAsia="zh-CN" w:bidi="ar-SA"/>
        </w:rPr>
        <w:t>中标单位</w:t>
      </w:r>
    </w:p>
    <w:p w14:paraId="0DD988E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中标候选人的选取原则和数量见招标文件第五章规定。 </w:t>
      </w:r>
    </w:p>
    <w:p w14:paraId="56DCE269">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27.2 评标结果按评审后得分由高到低顺序排列。投标文件满足招标文件全部实质性要求，且按照评审因素的量化指标评审得分由高到低排名 1-3的投标人为中标候选人，若得分相同，由采购人以现场抽签方式确定排序。</w:t>
      </w:r>
    </w:p>
    <w:p w14:paraId="76FFA5C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27.3 采购人或采购代理机构将在“江苏政府采购网”发布中标公告，公告期限为1个工作日。</w:t>
      </w:r>
    </w:p>
    <w:p w14:paraId="5F34B311">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27.4 若有充分证据证明，中标人出现下列情况之一的，一经查实，将被取消中标资格：</w:t>
      </w:r>
    </w:p>
    <w:p w14:paraId="2E8EEB1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提供虚假材料谋取中标的。</w:t>
      </w:r>
    </w:p>
    <w:p w14:paraId="0B1CBED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27.4.2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向采购人、采购代理机构行贿或者提供其他不正当利益的。</w:t>
      </w:r>
    </w:p>
    <w:p w14:paraId="5390F55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27.4.3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属于本文件规定的无效条件，但在评标过程中又未被评委会发现的。</w:t>
      </w:r>
    </w:p>
    <w:p w14:paraId="1FF825A5">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27.4.4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与采购人或者其他供应商恶意串通的。</w:t>
      </w:r>
    </w:p>
    <w:p w14:paraId="53B833B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27.4.5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采取不正当手段诋毁、排挤其他供应商的。</w:t>
      </w:r>
    </w:p>
    <w:p w14:paraId="2D76132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bookmarkStart w:id="148" w:name="_Toc200451960"/>
      <w:r>
        <w:rPr>
          <w:rFonts w:hint="eastAsia" w:ascii="宋体" w:hAnsi="宋体" w:eastAsia="宋体" w:cs="宋体"/>
          <w:color w:val="auto"/>
          <w:sz w:val="24"/>
          <w:highlight w:val="none"/>
        </w:rPr>
        <w:t>27.5 有下列情形之一的，视为投标人串通投标，投标无效：</w:t>
      </w:r>
    </w:p>
    <w:p w14:paraId="791693F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27.5.1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不同投标人的投标文件由同一单位或者个人编制。</w:t>
      </w:r>
    </w:p>
    <w:p w14:paraId="789236F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27.5.2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不同投标人委托同一单位或者个人办理投标事宜。</w:t>
      </w:r>
    </w:p>
    <w:p w14:paraId="64C5052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27.5.3 不同投标人的投标文件载明的项目管理成员或者联系人员为同一人。</w:t>
      </w:r>
    </w:p>
    <w:p w14:paraId="7A00D3EF">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highlight w:val="none"/>
        </w:rPr>
        <w:t>27.5.4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不同投标人的投标文件异常一致或者投标报价呈规律性差异。</w:t>
      </w:r>
    </w:p>
    <w:p w14:paraId="4A070DF1">
      <w:pPr>
        <w:keepNext/>
        <w:keepLines/>
        <w:pageBreakBefore w:val="0"/>
        <w:widowControl w:val="0"/>
        <w:kinsoku/>
        <w:wordWrap/>
        <w:overflowPunct/>
        <w:topLinePunct w:val="0"/>
        <w:autoSpaceDE/>
        <w:autoSpaceDN/>
        <w:bidi w:val="0"/>
        <w:adjustRightInd/>
        <w:snapToGrid/>
        <w:spacing w:before="0" w:after="0" w:line="450" w:lineRule="exact"/>
        <w:ind w:firstLine="600"/>
        <w:jc w:val="both"/>
        <w:textAlignment w:val="auto"/>
        <w:outlineLvl w:val="3"/>
        <w:rPr>
          <w:rFonts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28.质疑处理</w:t>
      </w:r>
      <w:bookmarkEnd w:id="148"/>
    </w:p>
    <w:p w14:paraId="68378A9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28.1 提出质疑的供应商应当是参与所质疑项目采购活动的供应商。潜在供应商依法获取其可质疑的采购文件的，可以对采购文件提出质疑。</w:t>
      </w:r>
    </w:p>
    <w:p w14:paraId="3BCF36B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EDDE7E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对可以质疑的采购文件提出质疑的，为收到采购文件之日或者采购文件公告期限届满之日；</w:t>
      </w:r>
    </w:p>
    <w:p w14:paraId="0BD42B8B">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对采购过程提出质疑的，为各采购程序环节结束之日；</w:t>
      </w:r>
    </w:p>
    <w:p w14:paraId="235EE3E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对中标或者成交结果提出质疑的，为中标或者成交结果公告期限届满之日。</w:t>
      </w:r>
    </w:p>
    <w:p w14:paraId="24AFF2DE">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9B8629D">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45E7131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p>
    <w:p w14:paraId="1E762C34">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b/>
          <w:color w:val="auto"/>
          <w:sz w:val="24"/>
          <w:szCs w:val="24"/>
          <w:highlight w:val="none"/>
        </w:rPr>
      </w:pPr>
      <w:r>
        <w:rPr>
          <w:rFonts w:hint="eastAsia" w:ascii="宋体" w:hAnsi="宋体" w:eastAsia="宋体" w:cs="宋体"/>
          <w:color w:val="auto"/>
          <w:sz w:val="24"/>
          <w:highlight w:val="none"/>
        </w:rPr>
        <w:t>采购人及采购代理机构只接收以纸质原件形式送达的质疑，供应商可以通过现场递交或邮寄方式提交质疑。</w:t>
      </w:r>
    </w:p>
    <w:p w14:paraId="6AB9A34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b/>
          <w:bCs/>
          <w:color w:val="auto"/>
          <w:sz w:val="24"/>
          <w:highlight w:val="none"/>
        </w:rPr>
        <w:t>采购代理机构质疑接收部门为</w:t>
      </w:r>
      <w:r>
        <w:rPr>
          <w:rFonts w:hint="eastAsia" w:ascii="宋体" w:hAnsi="宋体" w:cs="宋体"/>
          <w:b/>
          <w:bCs/>
          <w:color w:val="auto"/>
          <w:sz w:val="24"/>
          <w:szCs w:val="24"/>
          <w:highlight w:val="none"/>
          <w:lang w:eastAsia="zh-CN"/>
        </w:rPr>
        <w:t>江苏博茂项目管理有限公司</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联系人：</w:t>
      </w:r>
      <w:r>
        <w:rPr>
          <w:rFonts w:hint="eastAsia" w:ascii="宋体" w:hAnsi="宋体" w:cs="宋体"/>
          <w:b/>
          <w:bCs/>
          <w:color w:val="auto"/>
          <w:sz w:val="24"/>
          <w:highlight w:val="none"/>
          <w:lang w:val="en-US" w:eastAsia="zh-CN"/>
        </w:rPr>
        <w:t>庞</w:t>
      </w:r>
      <w:r>
        <w:rPr>
          <w:rFonts w:hint="eastAsia" w:ascii="宋体" w:hAnsi="宋体" w:eastAsia="宋体" w:cs="宋体"/>
          <w:b/>
          <w:bCs/>
          <w:color w:val="auto"/>
          <w:sz w:val="24"/>
          <w:highlight w:val="none"/>
          <w:lang w:val="en-US" w:eastAsia="zh-CN"/>
        </w:rPr>
        <w:t xml:space="preserve">工 </w:t>
      </w:r>
      <w:r>
        <w:rPr>
          <w:rFonts w:hint="eastAsia" w:ascii="宋体" w:hAnsi="宋体" w:eastAsia="宋体" w:cs="宋体"/>
          <w:b/>
          <w:bCs/>
          <w:color w:val="auto"/>
          <w:sz w:val="24"/>
          <w:highlight w:val="none"/>
        </w:rPr>
        <w:t>联系电话：</w:t>
      </w:r>
      <w:r>
        <w:rPr>
          <w:rFonts w:hint="eastAsia" w:ascii="宋体" w:hAnsi="宋体" w:cs="宋体"/>
          <w:b/>
          <w:bCs/>
          <w:color w:val="auto"/>
          <w:sz w:val="24"/>
          <w:highlight w:val="none"/>
          <w:lang w:val="en-US" w:eastAsia="zh-CN"/>
        </w:rPr>
        <w:t>15895798305</w:t>
      </w:r>
      <w:r>
        <w:rPr>
          <w:rFonts w:hint="eastAsia" w:ascii="宋体" w:hAnsi="宋体" w:eastAsia="宋体" w:cs="宋体"/>
          <w:color w:val="auto"/>
          <w:sz w:val="24"/>
          <w:highlight w:val="none"/>
        </w:rPr>
        <w:t>。</w:t>
      </w:r>
    </w:p>
    <w:p w14:paraId="37FE60D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采购人质疑接收人及联系方式见招标文件第一章。</w:t>
      </w:r>
    </w:p>
    <w:p w14:paraId="3DDEB98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28.5 以下情形的质疑不予受理</w:t>
      </w:r>
    </w:p>
    <w:p w14:paraId="2660919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28.5.1 内容不符合《政府采购质疑和投诉办法》第十二条规定的质疑。</w:t>
      </w:r>
    </w:p>
    <w:p w14:paraId="5D1F5D6A">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28.5.2 超出政府采购法定期限的质疑。</w:t>
      </w:r>
    </w:p>
    <w:p w14:paraId="4BB263B0">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28.5.3 以传真、电子邮件等方式递交的非原件形式的质疑。</w:t>
      </w:r>
    </w:p>
    <w:p w14:paraId="5F5ECF6F">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28.5.4 未参加投标活动的供应商或在投标活动中自身权益未受到损害的供应商所提出的质疑。</w:t>
      </w:r>
    </w:p>
    <w:p w14:paraId="6A6DF308">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28.5.5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供应商组成联合体参加投标，联合体中任何一方或多方未按要求签字、盖章、加盖公章的质疑。</w:t>
      </w:r>
    </w:p>
    <w:p w14:paraId="3F7C236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highlight w:val="none"/>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6783042">
      <w:pPr>
        <w:keepNext/>
        <w:keepLines/>
        <w:pageBreakBefore w:val="0"/>
        <w:widowControl w:val="0"/>
        <w:kinsoku/>
        <w:wordWrap/>
        <w:overflowPunct/>
        <w:topLinePunct w:val="0"/>
        <w:autoSpaceDE/>
        <w:autoSpaceDN/>
        <w:bidi w:val="0"/>
        <w:adjustRightInd/>
        <w:snapToGrid/>
        <w:spacing w:before="0" w:after="0" w:line="450" w:lineRule="exact"/>
        <w:ind w:firstLine="600"/>
        <w:jc w:val="both"/>
        <w:textAlignment w:val="auto"/>
        <w:outlineLvl w:val="3"/>
        <w:rPr>
          <w:rFonts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29.中标通知书</w:t>
      </w:r>
    </w:p>
    <w:p w14:paraId="67C7FE5A">
      <w:pPr>
        <w:pageBreakBefore w:val="0"/>
        <w:kinsoku/>
        <w:wordWrap/>
        <w:overflowPunct/>
        <w:topLinePunct w:val="0"/>
        <w:autoSpaceDE/>
        <w:autoSpaceDN/>
        <w:bidi w:val="0"/>
        <w:adjustRightInd/>
        <w:snapToGrid/>
        <w:spacing w:line="450" w:lineRule="exact"/>
        <w:ind w:firstLine="6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中标结果确定后，采购代理机构将向中标人发出中标通知书。</w:t>
      </w:r>
      <w:r>
        <w:rPr>
          <w:rFonts w:hint="eastAsia" w:ascii="宋体" w:hAnsi="宋体" w:eastAsia="宋体" w:cs="宋体"/>
          <w:b/>
          <w:bCs/>
          <w:color w:val="auto"/>
          <w:sz w:val="24"/>
          <w:szCs w:val="24"/>
          <w:highlight w:val="none"/>
        </w:rPr>
        <w:t>中标供应商在领取中标通知书时，需提供五份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一份正本，四份副本）</w:t>
      </w:r>
      <w:r>
        <w:rPr>
          <w:rFonts w:hint="eastAsia" w:ascii="宋体" w:hAnsi="宋体" w:eastAsia="宋体" w:cs="宋体"/>
          <w:b/>
          <w:bCs/>
          <w:color w:val="auto"/>
          <w:sz w:val="24"/>
          <w:szCs w:val="24"/>
          <w:highlight w:val="none"/>
        </w:rPr>
        <w:t>与电子投标文件一致的纸质打印投标文件，须封面、骑缝加盖公章。</w:t>
      </w:r>
    </w:p>
    <w:p w14:paraId="60CB515F">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29.2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中标通知书将是合同的一个组成部分。对采购人和中标人均具有法律效力。中标通知书发出后，采购人改变中标结果的，或者中标人放弃中标项目的，应当依法承担法律责任。</w:t>
      </w:r>
    </w:p>
    <w:p w14:paraId="2B6E7F5F">
      <w:pPr>
        <w:keepNext/>
        <w:keepLines/>
        <w:pageBreakBefore w:val="0"/>
        <w:widowControl w:val="0"/>
        <w:kinsoku/>
        <w:wordWrap/>
        <w:overflowPunct/>
        <w:topLinePunct w:val="0"/>
        <w:autoSpaceDE/>
        <w:autoSpaceDN/>
        <w:bidi w:val="0"/>
        <w:adjustRightInd/>
        <w:snapToGrid/>
        <w:spacing w:before="145" w:after="145" w:line="450" w:lineRule="exact"/>
        <w:jc w:val="both"/>
        <w:textAlignment w:val="auto"/>
        <w:outlineLvl w:val="2"/>
        <w:rPr>
          <w:rFonts w:ascii="宋体" w:hAnsi="宋体" w:eastAsia="宋体" w:cs="宋体"/>
          <w:b/>
          <w:bCs/>
          <w:color w:val="auto"/>
          <w:sz w:val="32"/>
          <w:szCs w:val="32"/>
          <w:highlight w:val="none"/>
          <w:lang w:val="en-US" w:eastAsia="zh-CN" w:bidi="ar-SA"/>
        </w:rPr>
      </w:pPr>
      <w:bookmarkStart w:id="149" w:name="_Toc31566"/>
      <w:bookmarkStart w:id="150" w:name="_Toc12848"/>
      <w:bookmarkStart w:id="151" w:name="_Toc120614220"/>
      <w:bookmarkStart w:id="152" w:name="_Toc20823308"/>
      <w:bookmarkStart w:id="153" w:name="_Toc513029236"/>
      <w:bookmarkStart w:id="154" w:name="_Toc16938552"/>
      <w:r>
        <w:rPr>
          <w:rFonts w:hint="eastAsia" w:ascii="宋体" w:hAnsi="宋体" w:eastAsia="宋体" w:cs="宋体"/>
          <w:b/>
          <w:bCs/>
          <w:color w:val="auto"/>
          <w:sz w:val="32"/>
          <w:szCs w:val="32"/>
          <w:highlight w:val="none"/>
          <w:lang w:val="en-US" w:eastAsia="zh-CN" w:bidi="ar-SA"/>
        </w:rPr>
        <w:t>七、授予合同</w:t>
      </w:r>
      <w:bookmarkEnd w:id="149"/>
      <w:bookmarkEnd w:id="150"/>
      <w:bookmarkEnd w:id="151"/>
    </w:p>
    <w:bookmarkEnd w:id="152"/>
    <w:bookmarkEnd w:id="153"/>
    <w:bookmarkEnd w:id="154"/>
    <w:p w14:paraId="71892E0B">
      <w:pPr>
        <w:keepNext w:val="0"/>
        <w:keepLines w:val="0"/>
        <w:pageBreakBefore w:val="0"/>
        <w:widowControl/>
        <w:kinsoku/>
        <w:wordWrap/>
        <w:overflowPunct/>
        <w:topLinePunct w:val="0"/>
        <w:autoSpaceDE/>
        <w:autoSpaceDN/>
        <w:bidi w:val="0"/>
        <w:adjustRightInd/>
        <w:snapToGrid/>
        <w:spacing w:line="450" w:lineRule="exact"/>
        <w:ind w:firstLine="600"/>
        <w:jc w:val="left"/>
        <w:textAlignment w:val="auto"/>
        <w:rPr>
          <w:rFonts w:hint="eastAsia" w:ascii="宋体" w:hAnsi="宋体" w:eastAsia="宋体" w:cs="宋体"/>
          <w:b w:val="0"/>
          <w:bCs/>
          <w:color w:val="auto"/>
          <w:sz w:val="30"/>
          <w:szCs w:val="30"/>
          <w:highlight w:val="none"/>
          <w:lang w:val="en-US" w:eastAsia="zh-CN" w:bidi="ar-SA"/>
        </w:rPr>
      </w:pPr>
      <w:bookmarkStart w:id="155" w:name="_Toc513029237"/>
      <w:bookmarkStart w:id="156" w:name="_Toc16938553"/>
      <w:bookmarkStart w:id="157" w:name="_Toc20823309"/>
      <w:r>
        <w:rPr>
          <w:rFonts w:hint="eastAsia" w:ascii="宋体" w:hAnsi="宋体" w:eastAsia="宋体" w:cs="宋体"/>
          <w:b w:val="0"/>
          <w:bCs/>
          <w:color w:val="auto"/>
          <w:sz w:val="30"/>
          <w:szCs w:val="30"/>
          <w:highlight w:val="none"/>
          <w:lang w:val="en-US" w:eastAsia="zh-CN" w:bidi="ar-SA"/>
        </w:rPr>
        <w:t>30. 签订合同</w:t>
      </w:r>
    </w:p>
    <w:p w14:paraId="72FB98C2">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30.l</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中标人应当在中标通知书发出之日起三十日内，按照招标文件确定的事项与采购人签订政府采购合同。</w:t>
      </w:r>
    </w:p>
    <w:p w14:paraId="7E09E5A6">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30.2 招标文件、中标人的投标文件及招标过程中有关澄清、承诺文件均应作为合同附件。</w:t>
      </w:r>
    </w:p>
    <w:p w14:paraId="199BD04E">
      <w:pPr>
        <w:pageBreakBefore w:val="0"/>
        <w:kinsoku/>
        <w:wordWrap/>
        <w:overflowPunct/>
        <w:topLinePunct w:val="0"/>
        <w:autoSpaceDE/>
        <w:autoSpaceDN/>
        <w:bidi w:val="0"/>
        <w:adjustRightInd/>
        <w:snapToGrid/>
        <w:spacing w:line="450" w:lineRule="exact"/>
        <w:ind w:firstLine="600"/>
        <w:textAlignment w:val="auto"/>
        <w:rPr>
          <w:rFonts w:ascii="宋体" w:hAnsi="宋体" w:eastAsia="宋体" w:cs="宋体"/>
          <w:color w:val="auto"/>
          <w:sz w:val="24"/>
          <w:highlight w:val="none"/>
        </w:rPr>
      </w:pPr>
      <w:r>
        <w:rPr>
          <w:rFonts w:hint="eastAsia" w:ascii="宋体" w:hAnsi="宋体" w:eastAsia="宋体" w:cs="宋体"/>
          <w:color w:val="auto"/>
          <w:sz w:val="24"/>
          <w:szCs w:val="24"/>
          <w:highlight w:val="none"/>
        </w:rPr>
        <w:t>30.3 签订合同后，</w:t>
      </w:r>
      <w:r>
        <w:rPr>
          <w:rFonts w:hint="eastAsia" w:ascii="宋体" w:hAnsi="宋体" w:eastAsia="宋体" w:cs="宋体"/>
          <w:b/>
          <w:bCs/>
          <w:iCs/>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w:t>
      </w:r>
      <w:r>
        <w:rPr>
          <w:rFonts w:hint="eastAsia" w:ascii="宋体" w:hAnsi="宋体" w:eastAsia="宋体" w:cs="宋体"/>
          <w:color w:val="auto"/>
          <w:sz w:val="24"/>
          <w:highlight w:val="none"/>
        </w:rPr>
        <w:t>也不得采用分包的形式履行合同，否则采购人有权终止合同。转包或分包造成采购人损失的，中标人应承担相应赔偿责任。</w:t>
      </w:r>
    </w:p>
    <w:p w14:paraId="3C1F02FF">
      <w:pPr>
        <w:keepNext w:val="0"/>
        <w:keepLines w:val="0"/>
        <w:pageBreakBefore w:val="0"/>
        <w:widowControl/>
        <w:kinsoku/>
        <w:wordWrap/>
        <w:overflowPunct/>
        <w:topLinePunct w:val="0"/>
        <w:autoSpaceDE/>
        <w:autoSpaceDN/>
        <w:bidi w:val="0"/>
        <w:adjustRightInd/>
        <w:snapToGrid/>
        <w:spacing w:line="450" w:lineRule="exact"/>
        <w:ind w:firstLine="600"/>
        <w:jc w:val="left"/>
        <w:textAlignment w:val="auto"/>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31.服务（包含与服务相关的货物）的追加</w:t>
      </w:r>
    </w:p>
    <w:p w14:paraId="24D7DBCC">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31.1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政府采购合同履行中，采购人需追加与合同标的相同的服务（包含与服务相关的货物），在不改变合同其他条款的前提下，可以与中标人协商签订补充合同，但所有补充合同的采购金额不超过原合同金额的10%。</w:t>
      </w:r>
    </w:p>
    <w:bookmarkEnd w:id="155"/>
    <w:bookmarkEnd w:id="156"/>
    <w:bookmarkEnd w:id="157"/>
    <w:p w14:paraId="0395CC02">
      <w:pPr>
        <w:keepNext w:val="0"/>
        <w:keepLines w:val="0"/>
        <w:pageBreakBefore w:val="0"/>
        <w:widowControl/>
        <w:kinsoku/>
        <w:wordWrap/>
        <w:overflowPunct/>
        <w:topLinePunct w:val="0"/>
        <w:autoSpaceDE/>
        <w:autoSpaceDN/>
        <w:bidi w:val="0"/>
        <w:adjustRightInd/>
        <w:snapToGrid/>
        <w:spacing w:line="450" w:lineRule="exact"/>
        <w:ind w:firstLine="600"/>
        <w:jc w:val="left"/>
        <w:textAlignment w:val="auto"/>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32.政府采购履约资金扶持政策</w:t>
      </w:r>
    </w:p>
    <w:p w14:paraId="193CBDE3">
      <w:pPr>
        <w:pageBreakBefore w:val="0"/>
        <w:kinsoku/>
        <w:wordWrap/>
        <w:overflowPunct/>
        <w:topLinePunct w:val="0"/>
        <w:autoSpaceDE/>
        <w:autoSpaceDN/>
        <w:bidi w:val="0"/>
        <w:adjustRightInd/>
        <w:snapToGrid/>
        <w:spacing w:line="45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中标人可凭政府采购合同办理融资贷款，详情请见江苏政府采购网“政采贷”专栏。</w:t>
      </w:r>
    </w:p>
    <w:p w14:paraId="302EED88">
      <w:pPr>
        <w:keepNext/>
        <w:keepLines/>
        <w:pageBreakBefore w:val="0"/>
        <w:numPr>
          <w:ilvl w:val="0"/>
          <w:numId w:val="0"/>
        </w:numPr>
        <w:kinsoku/>
        <w:wordWrap/>
        <w:overflowPunct/>
        <w:topLinePunct w:val="0"/>
        <w:autoSpaceDE/>
        <w:autoSpaceDN/>
        <w:bidi w:val="0"/>
        <w:adjustRightInd/>
        <w:snapToGrid/>
        <w:spacing w:line="450" w:lineRule="exact"/>
        <w:textAlignment w:val="auto"/>
        <w:outlineLvl w:val="2"/>
        <w:rPr>
          <w:rFonts w:ascii="宋体" w:hAnsi="宋体" w:eastAsia="宋体" w:cs="宋体"/>
          <w:b/>
          <w:bCs/>
          <w:color w:val="auto"/>
          <w:sz w:val="32"/>
          <w:szCs w:val="32"/>
          <w:highlight w:val="none"/>
        </w:rPr>
      </w:pPr>
      <w:bookmarkStart w:id="158" w:name="_Toc19843"/>
      <w:bookmarkStart w:id="159" w:name="_Toc23014"/>
      <w:bookmarkStart w:id="160" w:name="_Toc27845"/>
      <w:r>
        <w:rPr>
          <w:rFonts w:hint="eastAsia" w:ascii="宋体" w:hAnsi="宋体" w:eastAsia="宋体" w:cs="宋体"/>
          <w:b/>
          <w:bCs/>
          <w:color w:val="auto"/>
          <w:sz w:val="32"/>
          <w:szCs w:val="32"/>
          <w:highlight w:val="none"/>
          <w:lang w:val="en-US" w:eastAsia="zh-CN" w:bidi="ar-SA"/>
        </w:rPr>
        <w:t>八、</w:t>
      </w:r>
      <w:r>
        <w:rPr>
          <w:rFonts w:hint="eastAsia" w:ascii="宋体" w:hAnsi="宋体" w:eastAsia="宋体" w:cs="宋体"/>
          <w:b/>
          <w:bCs/>
          <w:color w:val="auto"/>
          <w:sz w:val="32"/>
          <w:szCs w:val="32"/>
          <w:highlight w:val="none"/>
        </w:rPr>
        <w:t>政策功能</w:t>
      </w:r>
      <w:bookmarkEnd w:id="158"/>
      <w:bookmarkEnd w:id="159"/>
      <w:bookmarkEnd w:id="160"/>
    </w:p>
    <w:p w14:paraId="4CDCF24F">
      <w:pPr>
        <w:keepNext w:val="0"/>
        <w:keepLines w:val="0"/>
        <w:pageBreakBefore w:val="0"/>
        <w:widowControl/>
        <w:kinsoku/>
        <w:wordWrap/>
        <w:overflowPunct/>
        <w:topLinePunct w:val="0"/>
        <w:autoSpaceDE/>
        <w:autoSpaceDN/>
        <w:bidi w:val="0"/>
        <w:adjustRightInd/>
        <w:snapToGrid/>
        <w:spacing w:line="450" w:lineRule="exact"/>
        <w:ind w:firstLine="600"/>
        <w:jc w:val="left"/>
        <w:textAlignment w:val="auto"/>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33. 政策功能</w:t>
      </w:r>
    </w:p>
    <w:p w14:paraId="294C81A8">
      <w:pPr>
        <w:pageBreakBefore w:val="0"/>
        <w:widowControl/>
        <w:kinsoku/>
        <w:wordWrap/>
        <w:overflowPunct/>
        <w:topLinePunct w:val="0"/>
        <w:autoSpaceDE/>
        <w:autoSpaceDN/>
        <w:bidi w:val="0"/>
        <w:adjustRightInd/>
        <w:snapToGrid/>
        <w:spacing w:line="450" w:lineRule="exact"/>
        <w:ind w:firstLine="723"/>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33.1 </w:t>
      </w:r>
      <w:r>
        <w:rPr>
          <w:rFonts w:hint="eastAsia" w:ascii="宋体" w:hAnsi="宋体" w:eastAsia="宋体" w:cs="宋体"/>
          <w:b/>
          <w:bCs/>
          <w:color w:val="auto"/>
          <w:sz w:val="24"/>
          <w:highlight w:val="none"/>
        </w:rPr>
        <w:t>本项目面向中小企业采购</w:t>
      </w:r>
      <w:r>
        <w:rPr>
          <w:rFonts w:hint="eastAsia" w:ascii="宋体" w:hAnsi="宋体" w:eastAsia="宋体" w:cs="宋体"/>
          <w:color w:val="auto"/>
          <w:sz w:val="24"/>
          <w:highlight w:val="none"/>
        </w:rPr>
        <w:t>：</w:t>
      </w:r>
    </w:p>
    <w:p w14:paraId="44BE85A7">
      <w:pPr>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p>
    <w:p w14:paraId="7F905899">
      <w:pPr>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2.根据财政部、工业和信息化部关于印发《政府采购促进中小企业发展管理办法》的通知（财库〔2020〕46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0B6557E">
      <w:pPr>
        <w:pageBreakBefore w:val="0"/>
        <w:widowControl/>
        <w:kinsoku/>
        <w:wordWrap/>
        <w:overflowPunct/>
        <w:topLinePunct w:val="0"/>
        <w:autoSpaceDE/>
        <w:autoSpaceDN/>
        <w:bidi w:val="0"/>
        <w:adjustRightInd/>
        <w:snapToGrid/>
        <w:spacing w:line="450" w:lineRule="exact"/>
        <w:ind w:firstLine="482"/>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中小企业参加政府采购活动，应当出具本办法规定的《中小企业声明函》，否则作无效标处理</w:t>
      </w:r>
      <w:r>
        <w:rPr>
          <w:rFonts w:hint="eastAsia" w:ascii="宋体" w:hAnsi="宋体" w:eastAsia="宋体" w:cs="宋体"/>
          <w:color w:val="auto"/>
          <w:sz w:val="24"/>
          <w:highlight w:val="none"/>
        </w:rPr>
        <w:t>。</w:t>
      </w:r>
    </w:p>
    <w:p w14:paraId="4D11043E">
      <w:pPr>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3.投标人为残疾人福利性单位且提供的货物全部由残疾人福利性单位制造的，符合财库〔2017〕141 号文件规定条件的残疾人福利性单位视同小型、微型企业，提供《残疾人福利性单位声明函》。</w:t>
      </w:r>
    </w:p>
    <w:p w14:paraId="5E75F1C9">
      <w:pPr>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EEC833">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p>
    <w:p w14:paraId="5716ACE1">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5.在政府采购活动中，投标人提供的货物、工程或者服务符合下列情形的，享受本办法规定的中小企业扶持政策：</w:t>
      </w:r>
    </w:p>
    <w:p w14:paraId="786B4DBA">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（一）在货物采购项目中，货物由中小企业制造，即货物由中小企业生产且使用该中小企业商号或者注册商标；</w:t>
      </w:r>
    </w:p>
    <w:p w14:paraId="4D46D885">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（二）在工程采购项目中，工程由中小企业承建，即工程施工单位为中小企业；</w:t>
      </w:r>
    </w:p>
    <w:p w14:paraId="2038BC8E">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EFFBE5A">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以上规定未尽事项，按《政府采购促进中小企业发展管理办法》等有关制度规定执行。</w:t>
      </w:r>
    </w:p>
    <w:p w14:paraId="445FDE01">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6.《中小企业声明函》等相关资料应上传至电子投标文件中，否则不予认可。</w:t>
      </w:r>
    </w:p>
    <w:p w14:paraId="2B5C8584">
      <w:pPr>
        <w:pageBreakBefore w:val="0"/>
        <w:kinsoku/>
        <w:wordWrap/>
        <w:overflowPunct/>
        <w:topLinePunct w:val="0"/>
        <w:autoSpaceDE/>
        <w:autoSpaceDN/>
        <w:bidi w:val="0"/>
        <w:adjustRightInd/>
        <w:snapToGrid/>
        <w:spacing w:line="450" w:lineRule="exact"/>
        <w:ind w:firstLine="482"/>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33.2 支持绿色发展</w:t>
      </w:r>
    </w:p>
    <w:p w14:paraId="5E246CD4">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0843C966">
      <w:pPr>
        <w:pageBreakBefore w:val="0"/>
        <w:kinsoku/>
        <w:wordWrap/>
        <w:overflowPunct/>
        <w:topLinePunct w:val="0"/>
        <w:autoSpaceDE/>
        <w:autoSpaceDN/>
        <w:bidi w:val="0"/>
        <w:adjustRightInd/>
        <w:snapToGrid/>
        <w:spacing w:line="450" w:lineRule="exact"/>
        <w:ind w:firstLine="480"/>
        <w:jc w:val="both"/>
        <w:textAlignment w:val="auto"/>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0AE05A4">
      <w:pPr>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FF06132">
      <w:pPr>
        <w:pStyle w:val="29"/>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33.</w:t>
      </w:r>
      <w:r>
        <w:rPr>
          <w:rFonts w:hint="eastAsia" w:cs="宋体"/>
          <w:b/>
          <w:bCs/>
          <w:color w:val="auto"/>
          <w:sz w:val="24"/>
          <w:szCs w:val="22"/>
          <w:highlight w:val="none"/>
          <w:lang w:val="en-US" w:eastAsia="zh-CN" w:bidi="ar-SA"/>
        </w:rPr>
        <w:t>3</w:t>
      </w:r>
      <w:r>
        <w:rPr>
          <w:rFonts w:hint="eastAsia" w:ascii="宋体" w:hAnsi="宋体" w:eastAsia="宋体" w:cs="宋体"/>
          <w:b/>
          <w:bCs/>
          <w:color w:val="auto"/>
          <w:sz w:val="24"/>
          <w:szCs w:val="22"/>
          <w:highlight w:val="none"/>
          <w:lang w:val="en-US" w:eastAsia="zh-CN" w:bidi="ar-SA"/>
        </w:rPr>
        <w:t>、支持采购本国产品的政策</w:t>
      </w:r>
    </w:p>
    <w:p w14:paraId="43CDC6E8">
      <w:pPr>
        <w:pStyle w:val="238"/>
        <w:pageBreakBefore w:val="0"/>
        <w:kinsoku/>
        <w:wordWrap/>
        <w:overflowPunct/>
        <w:topLinePunct w:val="0"/>
        <w:autoSpaceDE/>
        <w:autoSpaceDN/>
        <w:bidi w:val="0"/>
        <w:adjustRightInd/>
        <w:snapToGrid/>
        <w:spacing w:line="450" w:lineRule="exact"/>
        <w:ind w:firstLine="480"/>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21D7E19D">
      <w:pPr>
        <w:pStyle w:val="29"/>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EE67FF">
      <w:pPr>
        <w:pStyle w:val="29"/>
        <w:pageBreakBefore w:val="0"/>
        <w:kinsoku/>
        <w:wordWrap/>
        <w:overflowPunct/>
        <w:topLinePunct w:val="0"/>
        <w:autoSpaceDE/>
        <w:autoSpaceDN/>
        <w:bidi w:val="0"/>
        <w:adjustRightInd/>
        <w:snapToGrid/>
        <w:spacing w:before="0" w:beforeAutospacing="0" w:after="0" w:afterAutospacing="0" w:line="450" w:lineRule="exact"/>
        <w:ind w:firstLine="420"/>
        <w:textAlignment w:val="auto"/>
        <w:rPr>
          <w:color w:val="auto"/>
          <w:highlight w:val="none"/>
        </w:rPr>
      </w:pPr>
      <w:r>
        <w:rPr>
          <w:rFonts w:hint="eastAsia" w:ascii="Times New Roman" w:hAnsi="Times New Roman" w:cs="Times New Roman"/>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F5942C8">
      <w:pPr>
        <w:pageBreakBefore w:val="0"/>
        <w:widowControl/>
        <w:spacing w:line="480" w:lineRule="exact"/>
        <w:ind w:firstLine="480"/>
        <w:jc w:val="left"/>
        <w:rPr>
          <w:rFonts w:hint="eastAsia" w:ascii="宋体" w:hAnsi="宋体" w:eastAsia="宋体" w:cs="宋体"/>
          <w:b w:val="0"/>
          <w:bCs w:val="0"/>
          <w:color w:val="auto"/>
          <w:sz w:val="24"/>
          <w:highlight w:val="none"/>
        </w:rPr>
      </w:pPr>
    </w:p>
    <w:bookmarkEnd w:id="5"/>
    <w:p w14:paraId="4BA7E62B">
      <w:pPr>
        <w:widowControl/>
        <w:jc w:val="left"/>
        <w:rPr>
          <w:color w:val="auto"/>
          <w:sz w:val="24"/>
          <w:szCs w:val="24"/>
          <w:highlight w:val="none"/>
        </w:rPr>
      </w:pPr>
    </w:p>
    <w:p w14:paraId="0C9DE6C1">
      <w:pPr>
        <w:pStyle w:val="185"/>
        <w:numPr>
          <w:ilvl w:val="0"/>
          <w:numId w:val="2"/>
        </w:numPr>
        <w:spacing w:before="0" w:after="0" w:line="240" w:lineRule="auto"/>
        <w:jc w:val="center"/>
        <w:rPr>
          <w:rFonts w:hint="eastAsia" w:ascii="黑体" w:hAnsi="黑体" w:eastAsia="黑体"/>
          <w:b w:val="0"/>
          <w:color w:val="auto"/>
          <w:highlight w:val="none"/>
        </w:rPr>
      </w:pPr>
      <w:bookmarkStart w:id="161" w:name="_Toc155796358"/>
      <w:r>
        <w:rPr>
          <w:rFonts w:hint="eastAsia" w:ascii="黑体" w:hAnsi="黑体" w:eastAsia="黑体"/>
          <w:b w:val="0"/>
          <w:color w:val="auto"/>
          <w:highlight w:val="none"/>
        </w:rPr>
        <w:br w:type="page" w:clear="all"/>
      </w:r>
      <w:r>
        <w:rPr>
          <w:rFonts w:hint="eastAsia" w:ascii="黑体" w:hAnsi="黑体" w:eastAsia="黑体"/>
          <w:b w:val="0"/>
          <w:color w:val="auto"/>
          <w:highlight w:val="none"/>
        </w:rPr>
        <w:t xml:space="preserve"> 合同文本</w:t>
      </w:r>
      <w:bookmarkEnd w:id="161"/>
    </w:p>
    <w:p w14:paraId="4FC69BCC">
      <w:pPr>
        <w:spacing w:before="166"/>
        <w:ind w:left="3518"/>
        <w:rPr>
          <w:rFonts w:hint="eastAsia" w:ascii="宋体" w:hAnsi="宋体"/>
          <w:color w:val="auto"/>
          <w:sz w:val="51"/>
          <w:szCs w:val="51"/>
          <w:highlight w:val="none"/>
        </w:rPr>
      </w:pPr>
      <w:bookmarkStart w:id="162" w:name="_Toc12693"/>
      <w:bookmarkStart w:id="163" w:name="_Toc3379"/>
      <w:bookmarkStart w:id="164" w:name="_Toc27955"/>
      <w:bookmarkStart w:id="165" w:name="_Toc465856614"/>
      <w:r>
        <w:rPr>
          <w:rFonts w:hint="eastAsia" w:ascii="宋体" w:hAnsi="宋体"/>
          <w:b/>
          <w:bCs/>
          <w:color w:val="auto"/>
          <w:spacing w:val="-14"/>
          <w:sz w:val="51"/>
          <w:szCs w:val="51"/>
          <w:highlight w:val="none"/>
        </w:rPr>
        <w:t>政</w:t>
      </w:r>
      <w:r>
        <w:rPr>
          <w:rFonts w:hint="eastAsia" w:ascii="宋体" w:hAnsi="宋体"/>
          <w:color w:val="auto"/>
          <w:spacing w:val="27"/>
          <w:sz w:val="51"/>
          <w:szCs w:val="51"/>
          <w:highlight w:val="none"/>
        </w:rPr>
        <w:t xml:space="preserve"> </w:t>
      </w:r>
      <w:r>
        <w:rPr>
          <w:rFonts w:hint="eastAsia" w:ascii="宋体" w:hAnsi="宋体"/>
          <w:b/>
          <w:bCs/>
          <w:color w:val="auto"/>
          <w:spacing w:val="-14"/>
          <w:sz w:val="51"/>
          <w:szCs w:val="51"/>
          <w:highlight w:val="none"/>
        </w:rPr>
        <w:t>府</w:t>
      </w:r>
      <w:r>
        <w:rPr>
          <w:rFonts w:hint="eastAsia" w:ascii="宋体" w:hAnsi="宋体"/>
          <w:color w:val="auto"/>
          <w:spacing w:val="28"/>
          <w:sz w:val="51"/>
          <w:szCs w:val="51"/>
          <w:highlight w:val="none"/>
        </w:rPr>
        <w:t xml:space="preserve"> </w:t>
      </w:r>
      <w:r>
        <w:rPr>
          <w:rFonts w:hint="eastAsia" w:ascii="宋体" w:hAnsi="宋体"/>
          <w:b/>
          <w:bCs/>
          <w:color w:val="auto"/>
          <w:spacing w:val="-14"/>
          <w:sz w:val="51"/>
          <w:szCs w:val="51"/>
          <w:highlight w:val="none"/>
        </w:rPr>
        <w:t>采</w:t>
      </w:r>
      <w:r>
        <w:rPr>
          <w:rFonts w:hint="eastAsia" w:ascii="宋体" w:hAnsi="宋体"/>
          <w:color w:val="auto"/>
          <w:spacing w:val="30"/>
          <w:sz w:val="51"/>
          <w:szCs w:val="51"/>
          <w:highlight w:val="none"/>
        </w:rPr>
        <w:t xml:space="preserve"> </w:t>
      </w:r>
      <w:r>
        <w:rPr>
          <w:rFonts w:hint="eastAsia" w:ascii="宋体" w:hAnsi="宋体"/>
          <w:b/>
          <w:bCs/>
          <w:color w:val="auto"/>
          <w:spacing w:val="-14"/>
          <w:sz w:val="51"/>
          <w:szCs w:val="51"/>
          <w:highlight w:val="none"/>
        </w:rPr>
        <w:t>购</w:t>
      </w:r>
    </w:p>
    <w:p w14:paraId="1153C07F">
      <w:pPr>
        <w:pStyle w:val="14"/>
        <w:spacing w:line="244" w:lineRule="auto"/>
        <w:rPr>
          <w:color w:val="auto"/>
          <w:highlight w:val="none"/>
        </w:rPr>
      </w:pPr>
      <w:r>
        <w:rPr>
          <w:color w:val="auto"/>
          <w:highlight w:val="none"/>
        </w:rPr>
        <w:t xml:space="preserve"> </w:t>
      </w:r>
    </w:p>
    <w:p w14:paraId="550C8461">
      <w:pPr>
        <w:pStyle w:val="14"/>
        <w:spacing w:line="244" w:lineRule="auto"/>
        <w:rPr>
          <w:color w:val="auto"/>
          <w:highlight w:val="none"/>
        </w:rPr>
      </w:pPr>
      <w:r>
        <w:rPr>
          <w:color w:val="auto"/>
          <w:highlight w:val="none"/>
        </w:rPr>
        <w:t xml:space="preserve"> </w:t>
      </w:r>
    </w:p>
    <w:p w14:paraId="5C3F5893">
      <w:pPr>
        <w:pStyle w:val="14"/>
        <w:spacing w:line="247" w:lineRule="auto"/>
        <w:rPr>
          <w:color w:val="auto"/>
          <w:highlight w:val="none"/>
        </w:rPr>
      </w:pPr>
      <w:r>
        <w:rPr>
          <w:color w:val="auto"/>
          <w:highlight w:val="none"/>
        </w:rPr>
        <w:t xml:space="preserve"> </w:t>
      </w:r>
    </w:p>
    <w:p w14:paraId="0535E95B">
      <w:pPr>
        <w:pStyle w:val="14"/>
        <w:spacing w:line="247" w:lineRule="auto"/>
        <w:rPr>
          <w:color w:val="auto"/>
          <w:highlight w:val="none"/>
        </w:rPr>
      </w:pPr>
      <w:r>
        <w:rPr>
          <w:color w:val="auto"/>
          <w:highlight w:val="none"/>
        </w:rPr>
        <w:t xml:space="preserve"> </w:t>
      </w:r>
    </w:p>
    <w:p w14:paraId="0045F565">
      <w:pPr>
        <w:tabs>
          <w:tab w:val="left" w:pos="7860"/>
        </w:tabs>
        <w:rPr>
          <w:rFonts w:hint="eastAsia" w:ascii="宋体" w:hAnsi="宋体"/>
          <w:color w:val="auto"/>
          <w:sz w:val="44"/>
          <w:szCs w:val="44"/>
          <w:highlight w:val="none"/>
        </w:rPr>
      </w:pPr>
      <w:r>
        <w:rPr>
          <w:rFonts w:hint="eastAsia" w:ascii="宋体" w:hAnsi="宋体"/>
          <w:b/>
          <w:bCs/>
          <w:color w:val="auto"/>
          <w:spacing w:val="-9"/>
          <w:sz w:val="44"/>
          <w:szCs w:val="44"/>
          <w:highlight w:val="none"/>
          <w:u w:val="single"/>
        </w:rPr>
        <w:t xml:space="preserve">                                </w:t>
      </w:r>
      <w:r>
        <w:rPr>
          <w:rFonts w:hint="eastAsia" w:ascii="宋体" w:hAnsi="宋体"/>
          <w:b/>
          <w:bCs/>
          <w:color w:val="auto"/>
          <w:spacing w:val="-9"/>
          <w:sz w:val="44"/>
          <w:szCs w:val="44"/>
          <w:highlight w:val="none"/>
        </w:rPr>
        <w:t>服务合同</w:t>
      </w:r>
    </w:p>
    <w:p w14:paraId="16E3D30D">
      <w:pPr>
        <w:pStyle w:val="14"/>
        <w:spacing w:line="273" w:lineRule="auto"/>
        <w:rPr>
          <w:color w:val="auto"/>
          <w:highlight w:val="none"/>
        </w:rPr>
      </w:pPr>
      <w:r>
        <w:rPr>
          <w:color w:val="auto"/>
          <w:highlight w:val="none"/>
        </w:rPr>
        <w:t xml:space="preserve"> </w:t>
      </w:r>
    </w:p>
    <w:p w14:paraId="3D244568">
      <w:pPr>
        <w:pStyle w:val="14"/>
        <w:spacing w:line="273" w:lineRule="auto"/>
        <w:rPr>
          <w:color w:val="auto"/>
          <w:highlight w:val="none"/>
        </w:rPr>
      </w:pPr>
      <w:r>
        <w:rPr>
          <w:color w:val="auto"/>
          <w:highlight w:val="none"/>
        </w:rPr>
        <w:t xml:space="preserve"> </w:t>
      </w:r>
    </w:p>
    <w:p w14:paraId="33878B05">
      <w:pPr>
        <w:pStyle w:val="14"/>
        <w:spacing w:line="273" w:lineRule="auto"/>
        <w:rPr>
          <w:color w:val="auto"/>
          <w:highlight w:val="none"/>
        </w:rPr>
      </w:pPr>
      <w:r>
        <w:rPr>
          <w:color w:val="auto"/>
          <w:highlight w:val="none"/>
        </w:rPr>
        <w:t xml:space="preserve"> </w:t>
      </w:r>
    </w:p>
    <w:p w14:paraId="71ECFB81">
      <w:pPr>
        <w:pStyle w:val="14"/>
        <w:spacing w:line="273" w:lineRule="auto"/>
        <w:rPr>
          <w:color w:val="auto"/>
          <w:highlight w:val="none"/>
        </w:rPr>
      </w:pPr>
      <w:r>
        <w:rPr>
          <w:color w:val="auto"/>
          <w:highlight w:val="none"/>
        </w:rPr>
        <w:t xml:space="preserve"> </w:t>
      </w:r>
    </w:p>
    <w:p w14:paraId="2B798903">
      <w:pPr>
        <w:pStyle w:val="14"/>
        <w:spacing w:line="273" w:lineRule="auto"/>
        <w:rPr>
          <w:color w:val="auto"/>
          <w:highlight w:val="none"/>
        </w:rPr>
      </w:pPr>
      <w:r>
        <w:rPr>
          <w:color w:val="auto"/>
          <w:highlight w:val="none"/>
        </w:rPr>
        <w:t xml:space="preserve"> </w:t>
      </w:r>
    </w:p>
    <w:p w14:paraId="708A0962">
      <w:pPr>
        <w:pStyle w:val="14"/>
        <w:spacing w:line="273" w:lineRule="auto"/>
        <w:rPr>
          <w:color w:val="auto"/>
          <w:highlight w:val="none"/>
        </w:rPr>
      </w:pPr>
      <w:r>
        <w:rPr>
          <w:color w:val="auto"/>
          <w:highlight w:val="none"/>
        </w:rPr>
        <w:t xml:space="preserve"> </w:t>
      </w:r>
    </w:p>
    <w:p w14:paraId="7A96F7DF">
      <w:pPr>
        <w:spacing w:before="143"/>
        <w:rPr>
          <w:rFonts w:hint="eastAsia" w:ascii="宋体" w:hAnsi="宋体"/>
          <w:color w:val="auto"/>
          <w:sz w:val="44"/>
          <w:szCs w:val="44"/>
          <w:highlight w:val="none"/>
        </w:rPr>
      </w:pPr>
      <w:r>
        <w:rPr>
          <w:rFonts w:hint="eastAsia" w:ascii="宋体" w:hAnsi="宋体"/>
          <w:b/>
          <w:bCs/>
          <w:color w:val="auto"/>
          <w:spacing w:val="-23"/>
          <w:sz w:val="44"/>
          <w:szCs w:val="44"/>
          <w:highlight w:val="none"/>
        </w:rPr>
        <w:t>合同编号：</w:t>
      </w:r>
    </w:p>
    <w:p w14:paraId="0CB02F35">
      <w:pPr>
        <w:pStyle w:val="14"/>
        <w:spacing w:line="256" w:lineRule="auto"/>
        <w:rPr>
          <w:color w:val="auto"/>
          <w:highlight w:val="none"/>
        </w:rPr>
      </w:pPr>
      <w:r>
        <w:rPr>
          <w:color w:val="auto"/>
          <w:highlight w:val="none"/>
        </w:rPr>
        <w:t xml:space="preserve"> </w:t>
      </w:r>
    </w:p>
    <w:p w14:paraId="5E0FCE35">
      <w:pPr>
        <w:pStyle w:val="14"/>
        <w:spacing w:line="256" w:lineRule="auto"/>
        <w:rPr>
          <w:color w:val="auto"/>
          <w:highlight w:val="none"/>
        </w:rPr>
      </w:pPr>
      <w:r>
        <w:rPr>
          <w:color w:val="auto"/>
          <w:highlight w:val="none"/>
        </w:rPr>
        <w:t xml:space="preserve"> </w:t>
      </w:r>
    </w:p>
    <w:p w14:paraId="1F66ABCF">
      <w:pPr>
        <w:pStyle w:val="14"/>
        <w:spacing w:line="256" w:lineRule="auto"/>
        <w:rPr>
          <w:color w:val="auto"/>
          <w:highlight w:val="none"/>
        </w:rPr>
      </w:pPr>
      <w:r>
        <w:rPr>
          <w:color w:val="auto"/>
          <w:highlight w:val="none"/>
        </w:rPr>
        <w:t xml:space="preserve"> </w:t>
      </w:r>
    </w:p>
    <w:p w14:paraId="40D9F4E6">
      <w:pPr>
        <w:pStyle w:val="14"/>
        <w:spacing w:line="256" w:lineRule="auto"/>
        <w:rPr>
          <w:color w:val="auto"/>
          <w:highlight w:val="none"/>
        </w:rPr>
      </w:pPr>
      <w:r>
        <w:rPr>
          <w:color w:val="auto"/>
          <w:highlight w:val="none"/>
        </w:rPr>
        <w:t xml:space="preserve"> </w:t>
      </w:r>
    </w:p>
    <w:p w14:paraId="0494E716">
      <w:pPr>
        <w:pStyle w:val="14"/>
        <w:spacing w:line="256" w:lineRule="auto"/>
        <w:rPr>
          <w:color w:val="auto"/>
          <w:highlight w:val="none"/>
        </w:rPr>
      </w:pPr>
      <w:r>
        <w:rPr>
          <w:color w:val="auto"/>
          <w:highlight w:val="none"/>
        </w:rPr>
        <w:t xml:space="preserve"> </w:t>
      </w:r>
    </w:p>
    <w:p w14:paraId="5F71EE10">
      <w:pPr>
        <w:pStyle w:val="14"/>
        <w:spacing w:line="256" w:lineRule="auto"/>
        <w:rPr>
          <w:color w:val="auto"/>
          <w:highlight w:val="none"/>
        </w:rPr>
      </w:pPr>
      <w:r>
        <w:rPr>
          <w:color w:val="auto"/>
          <w:highlight w:val="none"/>
        </w:rPr>
        <w:t xml:space="preserve"> </w:t>
      </w:r>
    </w:p>
    <w:p w14:paraId="30C6C90F">
      <w:pPr>
        <w:pStyle w:val="14"/>
        <w:spacing w:line="256" w:lineRule="auto"/>
        <w:rPr>
          <w:color w:val="auto"/>
          <w:highlight w:val="none"/>
        </w:rPr>
      </w:pPr>
      <w:r>
        <w:rPr>
          <w:color w:val="auto"/>
          <w:highlight w:val="none"/>
        </w:rPr>
        <w:t xml:space="preserve"> </w:t>
      </w:r>
    </w:p>
    <w:p w14:paraId="551C17D8">
      <w:pPr>
        <w:pStyle w:val="14"/>
        <w:spacing w:line="259" w:lineRule="auto"/>
        <w:rPr>
          <w:color w:val="auto"/>
          <w:highlight w:val="none"/>
        </w:rPr>
      </w:pPr>
      <w:r>
        <w:rPr>
          <w:color w:val="auto"/>
          <w:highlight w:val="none"/>
        </w:rPr>
        <w:t xml:space="preserve"> </w:t>
      </w:r>
    </w:p>
    <w:p w14:paraId="31CB99AE">
      <w:pPr>
        <w:pStyle w:val="14"/>
        <w:spacing w:line="259" w:lineRule="auto"/>
        <w:rPr>
          <w:color w:val="auto"/>
          <w:highlight w:val="none"/>
        </w:rPr>
      </w:pPr>
      <w:r>
        <w:rPr>
          <w:color w:val="auto"/>
          <w:highlight w:val="none"/>
        </w:rPr>
        <w:t xml:space="preserve"> </w:t>
      </w:r>
    </w:p>
    <w:p w14:paraId="6AD36460">
      <w:pPr>
        <w:pStyle w:val="14"/>
        <w:spacing w:line="259" w:lineRule="auto"/>
        <w:rPr>
          <w:color w:val="auto"/>
          <w:highlight w:val="none"/>
        </w:rPr>
      </w:pPr>
      <w:r>
        <w:rPr>
          <w:color w:val="auto"/>
          <w:highlight w:val="none"/>
        </w:rPr>
        <w:t xml:space="preserve"> </w:t>
      </w:r>
    </w:p>
    <w:p w14:paraId="4ABEB19B">
      <w:pPr>
        <w:pStyle w:val="14"/>
        <w:spacing w:line="259" w:lineRule="auto"/>
        <w:rPr>
          <w:color w:val="auto"/>
          <w:highlight w:val="none"/>
        </w:rPr>
      </w:pPr>
      <w:r>
        <w:rPr>
          <w:color w:val="auto"/>
          <w:highlight w:val="none"/>
        </w:rPr>
        <w:t xml:space="preserve"> </w:t>
      </w:r>
    </w:p>
    <w:p w14:paraId="10B07588">
      <w:pPr>
        <w:spacing w:before="143"/>
        <w:rPr>
          <w:rFonts w:hint="eastAsia" w:ascii="宋体" w:hAnsi="宋体"/>
          <w:color w:val="auto"/>
          <w:sz w:val="44"/>
          <w:szCs w:val="44"/>
          <w:highlight w:val="none"/>
        </w:rPr>
      </w:pPr>
      <w:r>
        <w:rPr>
          <w:rFonts w:hint="eastAsia" w:ascii="宋体" w:hAnsi="宋体"/>
          <w:b/>
          <w:bCs/>
          <w:color w:val="auto"/>
          <w:spacing w:val="-26"/>
          <w:sz w:val="44"/>
          <w:szCs w:val="44"/>
          <w:highlight w:val="none"/>
        </w:rPr>
        <w:t>采购人：</w:t>
      </w:r>
    </w:p>
    <w:p w14:paraId="5C999D4C">
      <w:pPr>
        <w:spacing w:before="101"/>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中标人：</w:t>
      </w:r>
    </w:p>
    <w:p w14:paraId="0C3463F9">
      <w:pPr>
        <w:spacing w:before="101"/>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 xml:space="preserve"> </w:t>
      </w:r>
    </w:p>
    <w:p w14:paraId="50EC087E">
      <w:pPr>
        <w:spacing w:before="101"/>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 xml:space="preserve"> </w:t>
      </w:r>
    </w:p>
    <w:p w14:paraId="0A0EBD17">
      <w:pPr>
        <w:spacing w:before="101"/>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 xml:space="preserve"> </w:t>
      </w:r>
    </w:p>
    <w:p w14:paraId="7278E3BC">
      <w:pPr>
        <w:spacing w:before="101"/>
        <w:jc w:val="center"/>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签订日期：  年   月  日</w:t>
      </w:r>
    </w:p>
    <w:p w14:paraId="22C58EF9">
      <w:pPr>
        <w:spacing w:before="101"/>
        <w:jc w:val="center"/>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 xml:space="preserve"> </w:t>
      </w:r>
    </w:p>
    <w:p w14:paraId="100A9AAF">
      <w:pPr>
        <w:spacing w:before="101"/>
        <w:jc w:val="center"/>
        <w:rPr>
          <w:rFonts w:hint="eastAsia" w:ascii="宋体" w:hAnsi="宋体"/>
          <w:b/>
          <w:bCs/>
          <w:color w:val="auto"/>
          <w:spacing w:val="-34"/>
          <w:sz w:val="44"/>
          <w:szCs w:val="44"/>
          <w:highlight w:val="none"/>
        </w:rPr>
      </w:pPr>
      <w:r>
        <w:rPr>
          <w:rFonts w:hint="eastAsia" w:ascii="宋体" w:hAnsi="宋体"/>
          <w:b/>
          <w:bCs/>
          <w:color w:val="auto"/>
          <w:spacing w:val="-34"/>
          <w:sz w:val="44"/>
          <w:szCs w:val="44"/>
          <w:highlight w:val="none"/>
        </w:rPr>
        <w:t xml:space="preserve"> </w:t>
      </w:r>
    </w:p>
    <w:p w14:paraId="14DDFF70">
      <w:pPr>
        <w:rPr>
          <w:color w:val="auto"/>
          <w:highlight w:val="none"/>
        </w:rPr>
      </w:pPr>
      <w:r>
        <w:rPr>
          <w:rFonts w:hint="eastAsia"/>
          <w:color w:val="auto"/>
          <w:highlight w:val="none"/>
        </w:rPr>
        <w:t xml:space="preserve"> </w:t>
      </w:r>
    </w:p>
    <w:p w14:paraId="239D174D">
      <w:pPr>
        <w:spacing w:before="78" w:line="360" w:lineRule="auto"/>
        <w:ind w:right="1153"/>
        <w:rPr>
          <w:color w:val="auto"/>
          <w:highlight w:val="none"/>
        </w:rPr>
      </w:pPr>
      <w:r>
        <w:rPr>
          <w:rFonts w:hint="eastAsia" w:ascii="宋体" w:hAnsi="宋体"/>
          <w:color w:val="auto"/>
          <w:sz w:val="24"/>
          <w:szCs w:val="24"/>
          <w:highlight w:val="none"/>
        </w:rPr>
        <w:t>以下为中标后签订本项目合同的通用条款，中标供应商不得提出实质</w:t>
      </w:r>
      <w:r>
        <w:rPr>
          <w:rFonts w:hint="eastAsia" w:ascii="宋体" w:hAnsi="宋体"/>
          <w:color w:val="auto"/>
          <w:spacing w:val="-1"/>
          <w:sz w:val="24"/>
          <w:szCs w:val="24"/>
          <w:highlight w:val="none"/>
        </w:rPr>
        <w:t>性的修改，关于</w:t>
      </w:r>
      <w:r>
        <w:rPr>
          <w:rFonts w:hint="eastAsia" w:ascii="宋体" w:hAnsi="宋体"/>
          <w:color w:val="auto"/>
          <w:spacing w:val="-2"/>
          <w:sz w:val="24"/>
          <w:szCs w:val="24"/>
          <w:highlight w:val="none"/>
        </w:rPr>
        <w:t>专用条款将由采购人与中标供应商结合本项目具体情况协商后签订。</w:t>
      </w:r>
    </w:p>
    <w:p w14:paraId="5C93A483">
      <w:pPr>
        <w:spacing w:before="104"/>
        <w:jc w:val="center"/>
        <w:rPr>
          <w:rFonts w:hint="eastAsia" w:ascii="宋体" w:hAnsi="宋体"/>
          <w:color w:val="auto"/>
          <w:sz w:val="32"/>
          <w:szCs w:val="32"/>
          <w:highlight w:val="none"/>
        </w:rPr>
      </w:pPr>
      <w:r>
        <w:rPr>
          <w:rFonts w:hint="eastAsia" w:ascii="宋体" w:hAnsi="宋体"/>
          <w:b/>
          <w:bCs/>
          <w:color w:val="auto"/>
          <w:spacing w:val="-4"/>
          <w:sz w:val="32"/>
          <w:szCs w:val="32"/>
          <w:highlight w:val="none"/>
        </w:rPr>
        <w:t>政府采购合同</w:t>
      </w:r>
    </w:p>
    <w:p w14:paraId="271B10A1">
      <w:pPr>
        <w:spacing w:before="250"/>
        <w:rPr>
          <w:rFonts w:hint="eastAsia" w:ascii="宋体" w:hAnsi="宋体"/>
          <w:color w:val="auto"/>
          <w:sz w:val="24"/>
          <w:szCs w:val="24"/>
          <w:highlight w:val="none"/>
        </w:rPr>
      </w:pPr>
      <w:r>
        <w:rPr>
          <w:rFonts w:hint="eastAsia" w:ascii="宋体" w:hAnsi="宋体"/>
          <w:color w:val="auto"/>
          <w:spacing w:val="-6"/>
          <w:sz w:val="24"/>
          <w:szCs w:val="24"/>
          <w:highlight w:val="none"/>
        </w:rPr>
        <w:t>甲方：</w:t>
      </w:r>
      <w:r>
        <w:rPr>
          <w:rFonts w:hint="eastAsia" w:ascii="宋体" w:hAnsi="宋体"/>
          <w:b/>
          <w:bCs/>
          <w:color w:val="auto"/>
          <w:spacing w:val="-6"/>
          <w:sz w:val="24"/>
          <w:szCs w:val="24"/>
          <w:highlight w:val="none"/>
          <w:u w:val="single"/>
        </w:rPr>
        <w:t>【采购单位】</w:t>
      </w:r>
    </w:p>
    <w:p w14:paraId="5459BE90">
      <w:pPr>
        <w:spacing w:before="277"/>
        <w:rPr>
          <w:rFonts w:hint="eastAsia" w:ascii="宋体" w:hAnsi="宋体"/>
          <w:color w:val="auto"/>
          <w:sz w:val="24"/>
          <w:szCs w:val="24"/>
          <w:highlight w:val="none"/>
        </w:rPr>
      </w:pPr>
      <w:r>
        <w:rPr>
          <w:rFonts w:hint="eastAsia" w:ascii="宋体" w:hAnsi="宋体"/>
          <w:color w:val="auto"/>
          <w:spacing w:val="-5"/>
          <w:sz w:val="24"/>
          <w:szCs w:val="24"/>
          <w:highlight w:val="none"/>
        </w:rPr>
        <w:t>乙方：（卖方）</w:t>
      </w:r>
      <w:r>
        <w:rPr>
          <w:rFonts w:hint="eastAsia" w:ascii="宋体" w:hAnsi="宋体"/>
          <w:color w:val="auto"/>
          <w:sz w:val="24"/>
          <w:szCs w:val="24"/>
          <w:highlight w:val="none"/>
          <w:u w:val="single"/>
        </w:rPr>
        <w:t xml:space="preserve">         </w:t>
      </w:r>
    </w:p>
    <w:p w14:paraId="11F07E7F">
      <w:pPr>
        <w:spacing w:before="278" w:line="391" w:lineRule="auto"/>
        <w:ind w:right="1129" w:firstLine="464" w:firstLineChars="200"/>
        <w:rPr>
          <w:rFonts w:hint="eastAsia" w:ascii="宋体" w:hAnsi="宋体"/>
          <w:color w:val="auto"/>
          <w:sz w:val="24"/>
          <w:szCs w:val="24"/>
          <w:highlight w:val="none"/>
        </w:rPr>
      </w:pPr>
      <w:r>
        <w:rPr>
          <w:rFonts w:hint="eastAsia" w:ascii="宋体" w:hAnsi="宋体"/>
          <w:color w:val="auto"/>
          <w:spacing w:val="-4"/>
          <w:sz w:val="24"/>
          <w:szCs w:val="24"/>
          <w:highlight w:val="none"/>
        </w:rPr>
        <w:t>甲、乙双方根据</w:t>
      </w:r>
      <w:r>
        <w:rPr>
          <w:rFonts w:hint="eastAsia" w:ascii="宋体" w:hAnsi="宋体"/>
          <w:color w:val="auto"/>
          <w:spacing w:val="-120"/>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pacing w:val="-109"/>
          <w:sz w:val="24"/>
          <w:szCs w:val="24"/>
          <w:highlight w:val="none"/>
        </w:rPr>
        <w:t xml:space="preserve"> </w:t>
      </w:r>
      <w:r>
        <w:rPr>
          <w:rFonts w:hint="eastAsia" w:ascii="宋体" w:hAnsi="宋体"/>
          <w:color w:val="auto"/>
          <w:spacing w:val="-4"/>
          <w:sz w:val="24"/>
          <w:szCs w:val="24"/>
          <w:highlight w:val="none"/>
        </w:rPr>
        <w:t>年</w:t>
      </w:r>
      <w:r>
        <w:rPr>
          <w:rFonts w:hint="eastAsia" w:ascii="宋体" w:hAnsi="宋体"/>
          <w:color w:val="auto"/>
          <w:spacing w:val="-4"/>
          <w:sz w:val="24"/>
          <w:szCs w:val="24"/>
          <w:highlight w:val="none"/>
          <w:u w:val="single"/>
        </w:rPr>
        <w:t xml:space="preserve">   </w:t>
      </w:r>
      <w:r>
        <w:rPr>
          <w:rFonts w:hint="eastAsia" w:ascii="宋体" w:hAnsi="宋体"/>
          <w:color w:val="auto"/>
          <w:spacing w:val="-105"/>
          <w:sz w:val="24"/>
          <w:szCs w:val="24"/>
          <w:highlight w:val="none"/>
        </w:rPr>
        <w:t xml:space="preserve"> </w:t>
      </w:r>
      <w:r>
        <w:rPr>
          <w:rFonts w:hint="eastAsia" w:ascii="宋体" w:hAnsi="宋体"/>
          <w:color w:val="auto"/>
          <w:spacing w:val="-4"/>
          <w:sz w:val="24"/>
          <w:szCs w:val="24"/>
          <w:highlight w:val="none"/>
        </w:rPr>
        <w:t>月</w:t>
      </w:r>
      <w:r>
        <w:rPr>
          <w:rFonts w:hint="eastAsia" w:ascii="宋体" w:hAnsi="宋体"/>
          <w:color w:val="auto"/>
          <w:spacing w:val="-4"/>
          <w:sz w:val="24"/>
          <w:szCs w:val="24"/>
          <w:highlight w:val="none"/>
          <w:u w:val="single"/>
        </w:rPr>
        <w:t xml:space="preserve">  </w:t>
      </w:r>
      <w:r>
        <w:rPr>
          <w:rFonts w:hint="eastAsia" w:ascii="宋体" w:hAnsi="宋体"/>
          <w:color w:val="auto"/>
          <w:spacing w:val="-69"/>
          <w:sz w:val="24"/>
          <w:szCs w:val="24"/>
          <w:highlight w:val="none"/>
        </w:rPr>
        <w:t xml:space="preserve"> </w:t>
      </w:r>
      <w:r>
        <w:rPr>
          <w:rFonts w:hint="eastAsia" w:ascii="宋体" w:hAnsi="宋体"/>
          <w:color w:val="auto"/>
          <w:spacing w:val="-4"/>
          <w:sz w:val="24"/>
          <w:szCs w:val="24"/>
          <w:highlight w:val="none"/>
        </w:rPr>
        <w:t>日</w:t>
      </w:r>
      <w:r>
        <w:rPr>
          <w:rFonts w:hint="eastAsia" w:ascii="宋体" w:hAnsi="宋体"/>
          <w:b/>
          <w:bCs/>
          <w:color w:val="auto"/>
          <w:spacing w:val="-4"/>
          <w:sz w:val="24"/>
          <w:szCs w:val="24"/>
          <w:highlight w:val="none"/>
          <w:u w:val="single"/>
        </w:rPr>
        <w:t>【标段名称】</w:t>
      </w:r>
      <w:r>
        <w:rPr>
          <w:rFonts w:hint="eastAsia" w:ascii="宋体" w:hAnsi="宋体"/>
          <w:color w:val="auto"/>
          <w:spacing w:val="-4"/>
          <w:sz w:val="24"/>
          <w:szCs w:val="24"/>
          <w:highlight w:val="none"/>
          <w:u w:val="single"/>
        </w:rPr>
        <w:t xml:space="preserve"> </w:t>
      </w:r>
      <w:r>
        <w:rPr>
          <w:rFonts w:hint="eastAsia" w:ascii="宋体" w:hAnsi="宋体"/>
          <w:color w:val="auto"/>
          <w:spacing w:val="-107"/>
          <w:sz w:val="24"/>
          <w:szCs w:val="24"/>
          <w:highlight w:val="none"/>
        </w:rPr>
        <w:t xml:space="preserve"> </w:t>
      </w:r>
      <w:r>
        <w:rPr>
          <w:rFonts w:hint="eastAsia" w:ascii="宋体" w:hAnsi="宋体"/>
          <w:color w:val="auto"/>
          <w:spacing w:val="-4"/>
          <w:sz w:val="24"/>
          <w:szCs w:val="24"/>
          <w:highlight w:val="none"/>
        </w:rPr>
        <w:t>项目（标段编号：</w:t>
      </w:r>
      <w:r>
        <w:rPr>
          <w:rFonts w:hint="eastAsia" w:ascii="宋体" w:hAnsi="宋体"/>
          <w:color w:val="auto"/>
          <w:spacing w:val="-4"/>
          <w:sz w:val="24"/>
          <w:szCs w:val="24"/>
          <w:highlight w:val="none"/>
          <w:u w:val="single"/>
        </w:rPr>
        <w:t>【标段编号</w:t>
      </w:r>
      <w:r>
        <w:rPr>
          <w:rFonts w:hint="eastAsia" w:ascii="宋体" w:hAnsi="宋体"/>
          <w:color w:val="auto"/>
          <w:spacing w:val="-5"/>
          <w:sz w:val="24"/>
          <w:szCs w:val="24"/>
          <w:highlight w:val="none"/>
          <w:u w:val="single"/>
        </w:rPr>
        <w:t>】</w:t>
      </w:r>
      <w:r>
        <w:rPr>
          <w:rFonts w:hint="eastAsia" w:ascii="宋体" w:hAnsi="宋体"/>
          <w:color w:val="auto"/>
          <w:spacing w:val="-5"/>
          <w:sz w:val="24"/>
          <w:szCs w:val="24"/>
          <w:highlight w:val="none"/>
        </w:rPr>
        <w:t>）</w:t>
      </w:r>
      <w:r>
        <w:rPr>
          <w:rFonts w:hint="eastAsia" w:ascii="宋体" w:hAnsi="宋体"/>
          <w:color w:val="auto"/>
          <w:spacing w:val="-4"/>
          <w:sz w:val="24"/>
          <w:szCs w:val="24"/>
          <w:highlight w:val="none"/>
        </w:rPr>
        <w:t>招标的结果，签订本合同。</w:t>
      </w:r>
    </w:p>
    <w:p w14:paraId="52317BFE">
      <w:pPr>
        <w:spacing w:before="1"/>
        <w:rPr>
          <w:rFonts w:hint="eastAsia" w:ascii="宋体" w:hAnsi="宋体"/>
          <w:color w:val="auto"/>
          <w:sz w:val="24"/>
          <w:szCs w:val="24"/>
          <w:highlight w:val="none"/>
        </w:rPr>
      </w:pPr>
      <w:r>
        <w:rPr>
          <w:rFonts w:hint="eastAsia" w:ascii="宋体" w:hAnsi="宋体"/>
          <w:b/>
          <w:bCs/>
          <w:color w:val="auto"/>
          <w:spacing w:val="-3"/>
          <w:sz w:val="24"/>
          <w:szCs w:val="24"/>
          <w:highlight w:val="none"/>
        </w:rPr>
        <w:t>第一条</w:t>
      </w:r>
      <w:r>
        <w:rPr>
          <w:rFonts w:hint="eastAsia" w:ascii="宋体" w:hAnsi="宋体"/>
          <w:color w:val="auto"/>
          <w:spacing w:val="-3"/>
          <w:sz w:val="24"/>
          <w:szCs w:val="24"/>
          <w:highlight w:val="none"/>
        </w:rPr>
        <w:t xml:space="preserve">  </w:t>
      </w:r>
      <w:r>
        <w:rPr>
          <w:rFonts w:hint="eastAsia" w:ascii="宋体" w:hAnsi="宋体"/>
          <w:b/>
          <w:bCs/>
          <w:color w:val="auto"/>
          <w:spacing w:val="-3"/>
          <w:sz w:val="24"/>
          <w:szCs w:val="24"/>
          <w:highlight w:val="none"/>
        </w:rPr>
        <w:t>基本情况</w:t>
      </w:r>
    </w:p>
    <w:p w14:paraId="4F6E9F68">
      <w:pPr>
        <w:spacing w:before="157"/>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pacing w:val="-1"/>
          <w:sz w:val="24"/>
          <w:szCs w:val="24"/>
          <w:highlight w:val="none"/>
          <w:u w:val="single"/>
        </w:rPr>
        <w:t xml:space="preserve">            </w:t>
      </w:r>
      <w:r>
        <w:rPr>
          <w:rFonts w:hint="eastAsia" w:ascii="宋体" w:hAnsi="宋体"/>
          <w:color w:val="auto"/>
          <w:spacing w:val="-1"/>
          <w:sz w:val="24"/>
          <w:szCs w:val="24"/>
          <w:highlight w:val="none"/>
        </w:rPr>
        <w:t>。</w:t>
      </w:r>
    </w:p>
    <w:p w14:paraId="61E63458">
      <w:pPr>
        <w:spacing w:before="155" w:line="336" w:lineRule="auto"/>
        <w:ind w:right="99"/>
        <w:rPr>
          <w:rFonts w:hint="eastAsia" w:ascii="宋体" w:hAnsi="宋体"/>
          <w:color w:val="auto"/>
          <w:sz w:val="24"/>
          <w:szCs w:val="24"/>
          <w:highlight w:val="none"/>
        </w:rPr>
      </w:pPr>
      <w:r>
        <w:rPr>
          <w:rFonts w:hint="eastAsia" w:ascii="宋体" w:hAnsi="宋体"/>
          <w:color w:val="auto"/>
          <w:sz w:val="24"/>
          <w:szCs w:val="24"/>
          <w:highlight w:val="none"/>
        </w:rPr>
        <w:t>服务方式：采用全包式委托管理服务，甲方仅提供设</w:t>
      </w:r>
      <w:r>
        <w:rPr>
          <w:rFonts w:hint="eastAsia" w:ascii="宋体" w:hAnsi="宋体"/>
          <w:color w:val="auto"/>
          <w:spacing w:val="-1"/>
          <w:sz w:val="24"/>
          <w:szCs w:val="24"/>
          <w:highlight w:val="none"/>
        </w:rPr>
        <w:t>备及水、电（含水电费）、</w:t>
      </w:r>
      <w:r>
        <w:rPr>
          <w:rFonts w:hint="eastAsia" w:ascii="宋体" w:hAnsi="宋体"/>
          <w:b/>
          <w:bCs/>
          <w:color w:val="auto"/>
          <w:spacing w:val="-1"/>
          <w:sz w:val="24"/>
          <w:szCs w:val="24"/>
          <w:highlight w:val="none"/>
        </w:rPr>
        <w:t>易耗品（除调料、食材外）</w:t>
      </w:r>
      <w:r>
        <w:rPr>
          <w:rFonts w:hint="eastAsia" w:ascii="宋体" w:hAnsi="宋体"/>
          <w:color w:val="auto"/>
          <w:spacing w:val="-2"/>
          <w:sz w:val="24"/>
          <w:szCs w:val="24"/>
          <w:highlight w:val="none"/>
        </w:rPr>
        <w:t>，乙方提供采购需求中约定的服务内容，由甲方按月据实支付。</w:t>
      </w:r>
    </w:p>
    <w:p w14:paraId="5772EC75">
      <w:pPr>
        <w:spacing w:before="1"/>
        <w:rPr>
          <w:rFonts w:hint="eastAsia" w:ascii="宋体" w:hAnsi="宋体"/>
          <w:color w:val="auto"/>
          <w:sz w:val="24"/>
          <w:szCs w:val="24"/>
          <w:highlight w:val="none"/>
        </w:rPr>
      </w:pPr>
      <w:r>
        <w:rPr>
          <w:rFonts w:hint="eastAsia" w:ascii="宋体" w:hAnsi="宋体"/>
          <w:color w:val="auto"/>
          <w:spacing w:val="-4"/>
          <w:sz w:val="24"/>
          <w:szCs w:val="24"/>
          <w:highlight w:val="none"/>
        </w:rPr>
        <w:t>服务地点：甲方指定地点。</w:t>
      </w:r>
    </w:p>
    <w:p w14:paraId="6EE63232">
      <w:pPr>
        <w:spacing w:before="156"/>
        <w:rPr>
          <w:rFonts w:hint="eastAsia" w:ascii="宋体" w:hAnsi="宋体"/>
          <w:color w:val="auto"/>
          <w:sz w:val="24"/>
          <w:szCs w:val="24"/>
          <w:highlight w:val="none"/>
        </w:rPr>
      </w:pPr>
      <w:r>
        <w:rPr>
          <w:rFonts w:hint="eastAsia" w:ascii="宋体" w:hAnsi="宋体"/>
          <w:b/>
          <w:bCs/>
          <w:color w:val="auto"/>
          <w:spacing w:val="-1"/>
          <w:sz w:val="24"/>
          <w:szCs w:val="24"/>
          <w:highlight w:val="none"/>
        </w:rPr>
        <w:t>第二条</w:t>
      </w:r>
      <w:r>
        <w:rPr>
          <w:rFonts w:hint="eastAsia" w:ascii="宋体" w:hAnsi="宋体"/>
          <w:color w:val="auto"/>
          <w:spacing w:val="-1"/>
          <w:sz w:val="24"/>
          <w:szCs w:val="24"/>
          <w:highlight w:val="none"/>
        </w:rPr>
        <w:t xml:space="preserve">  服务范围</w:t>
      </w:r>
    </w:p>
    <w:p w14:paraId="1020A55F">
      <w:pPr>
        <w:spacing w:before="151"/>
        <w:rPr>
          <w:rFonts w:hint="eastAsia" w:ascii="宋体" w:hAnsi="宋体"/>
          <w:color w:val="auto"/>
          <w:sz w:val="24"/>
          <w:szCs w:val="24"/>
          <w:highlight w:val="none"/>
        </w:rPr>
      </w:pPr>
      <w:r>
        <w:rPr>
          <w:rFonts w:hint="eastAsia" w:ascii="宋体" w:hAnsi="宋体"/>
          <w:color w:val="auto"/>
          <w:spacing w:val="-6"/>
          <w:sz w:val="24"/>
          <w:szCs w:val="24"/>
          <w:highlight w:val="none"/>
        </w:rPr>
        <w:t>乙方所提供的服务范围和标准如下：</w:t>
      </w:r>
    </w:p>
    <w:p w14:paraId="4F74F511">
      <w:pPr>
        <w:spacing w:before="156"/>
        <w:rPr>
          <w:rFonts w:hint="eastAsia" w:ascii="宋体" w:hAnsi="宋体"/>
          <w:color w:val="auto"/>
          <w:sz w:val="24"/>
          <w:szCs w:val="24"/>
          <w:highlight w:val="none"/>
        </w:rPr>
      </w:pPr>
      <w:r>
        <w:rPr>
          <w:rFonts w:hint="eastAsia" w:ascii="宋体" w:hAnsi="宋体"/>
          <w:color w:val="auto"/>
          <w:spacing w:val="-4"/>
          <w:sz w:val="24"/>
          <w:szCs w:val="24"/>
          <w:highlight w:val="none"/>
        </w:rPr>
        <w:t>一、正常工作日早、午餐服务保障；</w:t>
      </w:r>
    </w:p>
    <w:p w14:paraId="54EA78EC">
      <w:pPr>
        <w:spacing w:before="157"/>
        <w:rPr>
          <w:rFonts w:hint="eastAsia" w:ascii="宋体" w:hAnsi="宋体"/>
          <w:color w:val="auto"/>
          <w:sz w:val="24"/>
          <w:szCs w:val="24"/>
          <w:highlight w:val="none"/>
        </w:rPr>
      </w:pPr>
      <w:r>
        <w:rPr>
          <w:rFonts w:hint="eastAsia" w:ascii="宋体" w:hAnsi="宋体"/>
          <w:color w:val="auto"/>
          <w:spacing w:val="-4"/>
          <w:sz w:val="24"/>
          <w:szCs w:val="24"/>
          <w:highlight w:val="none"/>
        </w:rPr>
        <w:t>（一）早餐采用自助餐形式，正常应有如下品种：</w:t>
      </w:r>
    </w:p>
    <w:p w14:paraId="422DD737">
      <w:pPr>
        <w:spacing w:before="151" w:line="338" w:lineRule="auto"/>
        <w:ind w:right="-101"/>
        <w:rPr>
          <w:rFonts w:hint="eastAsia" w:ascii="宋体" w:hAnsi="宋体"/>
          <w:color w:val="auto"/>
          <w:sz w:val="24"/>
          <w:szCs w:val="24"/>
          <w:highlight w:val="none"/>
        </w:rPr>
      </w:pPr>
      <w:r>
        <w:rPr>
          <w:rFonts w:hint="eastAsia" w:ascii="宋体" w:hAnsi="宋体"/>
          <w:color w:val="auto"/>
          <w:spacing w:val="1"/>
          <w:sz w:val="24"/>
          <w:szCs w:val="24"/>
          <w:highlight w:val="none"/>
        </w:rPr>
        <w:t>自助式早餐标准</w:t>
      </w:r>
      <w:r>
        <w:rPr>
          <w:rFonts w:hint="eastAsia" w:ascii="宋体" w:hAnsi="宋体"/>
          <w:color w:val="auto"/>
          <w:spacing w:val="-109"/>
          <w:sz w:val="24"/>
          <w:szCs w:val="24"/>
          <w:highlight w:val="none"/>
        </w:rPr>
        <w:t xml:space="preserve"> </w:t>
      </w:r>
      <w:r>
        <w:rPr>
          <w:rFonts w:hint="eastAsia" w:ascii="宋体" w:hAnsi="宋体"/>
          <w:color w:val="auto"/>
          <w:spacing w:val="2"/>
          <w:sz w:val="24"/>
          <w:szCs w:val="24"/>
          <w:highlight w:val="none"/>
          <w:u w:val="single"/>
        </w:rPr>
        <w:t xml:space="preserve">    </w:t>
      </w:r>
      <w:r>
        <w:rPr>
          <w:rFonts w:hint="eastAsia" w:ascii="宋体" w:hAnsi="宋体"/>
          <w:color w:val="auto"/>
          <w:spacing w:val="-107"/>
          <w:sz w:val="24"/>
          <w:szCs w:val="24"/>
          <w:highlight w:val="none"/>
        </w:rPr>
        <w:t xml:space="preserve"> </w:t>
      </w:r>
      <w:r>
        <w:rPr>
          <w:rFonts w:hint="eastAsia" w:ascii="宋体" w:hAnsi="宋体"/>
          <w:color w:val="auto"/>
          <w:spacing w:val="1"/>
          <w:sz w:val="24"/>
          <w:szCs w:val="24"/>
          <w:highlight w:val="none"/>
        </w:rPr>
        <w:t>元/人，至少包括牛奶或豆浆，面条（浇头为每周两大荤、一小</w:t>
      </w:r>
      <w:r>
        <w:rPr>
          <w:rFonts w:hint="eastAsia" w:ascii="宋体" w:hAnsi="宋体"/>
          <w:color w:val="auto"/>
          <w:spacing w:val="-13"/>
          <w:sz w:val="24"/>
          <w:szCs w:val="24"/>
          <w:highlight w:val="none"/>
        </w:rPr>
        <w:t>荤、两蔬） 、鸡蛋、小吃、杂粮、稀饭、水</w:t>
      </w:r>
      <w:r>
        <w:rPr>
          <w:rFonts w:hint="eastAsia" w:ascii="宋体" w:hAnsi="宋体"/>
          <w:color w:val="auto"/>
          <w:spacing w:val="-14"/>
          <w:sz w:val="24"/>
          <w:szCs w:val="24"/>
          <w:highlight w:val="none"/>
        </w:rPr>
        <w:t>果、面点、热（凉）菜（凉拌时蔬不少于</w:t>
      </w:r>
      <w:r>
        <w:rPr>
          <w:rFonts w:hint="eastAsia" w:ascii="宋体" w:hAnsi="宋体"/>
          <w:color w:val="auto"/>
          <w:spacing w:val="-33"/>
          <w:sz w:val="24"/>
          <w:szCs w:val="24"/>
          <w:highlight w:val="none"/>
        </w:rPr>
        <w:t xml:space="preserve"> </w:t>
      </w:r>
      <w:r>
        <w:rPr>
          <w:rFonts w:hint="eastAsia" w:ascii="宋体" w:hAnsi="宋体"/>
          <w:color w:val="auto"/>
          <w:spacing w:val="-14"/>
          <w:sz w:val="24"/>
          <w:szCs w:val="24"/>
          <w:highlight w:val="none"/>
        </w:rPr>
        <w:t>2</w:t>
      </w:r>
      <w:r>
        <w:rPr>
          <w:rFonts w:hint="eastAsia" w:ascii="宋体" w:hAnsi="宋体"/>
          <w:color w:val="auto"/>
          <w:spacing w:val="-53"/>
          <w:sz w:val="24"/>
          <w:szCs w:val="24"/>
          <w:highlight w:val="none"/>
        </w:rPr>
        <w:t xml:space="preserve"> </w:t>
      </w:r>
      <w:r>
        <w:rPr>
          <w:rFonts w:hint="eastAsia" w:ascii="宋体" w:hAnsi="宋体"/>
          <w:color w:val="auto"/>
          <w:spacing w:val="-14"/>
          <w:sz w:val="24"/>
          <w:szCs w:val="24"/>
          <w:highlight w:val="none"/>
        </w:rPr>
        <w:t>个）、</w:t>
      </w:r>
      <w:r>
        <w:rPr>
          <w:rFonts w:hint="eastAsia" w:ascii="宋体" w:hAnsi="宋体"/>
          <w:color w:val="auto"/>
          <w:spacing w:val="-3"/>
          <w:sz w:val="24"/>
          <w:szCs w:val="24"/>
          <w:highlight w:val="none"/>
        </w:rPr>
        <w:t>调味等，所提供早点必须自制（除半成品）。</w:t>
      </w:r>
    </w:p>
    <w:p w14:paraId="73A63EE1">
      <w:pPr>
        <w:spacing w:before="1" w:line="338" w:lineRule="auto"/>
        <w:ind w:right="99"/>
        <w:rPr>
          <w:rFonts w:hint="eastAsia" w:ascii="宋体" w:hAnsi="宋体"/>
          <w:color w:val="auto"/>
          <w:sz w:val="24"/>
          <w:szCs w:val="24"/>
          <w:highlight w:val="none"/>
        </w:rPr>
      </w:pPr>
      <w:r>
        <w:rPr>
          <w:rFonts w:hint="eastAsia" w:ascii="宋体" w:hAnsi="宋体"/>
          <w:color w:val="auto"/>
          <w:spacing w:val="-10"/>
          <w:sz w:val="24"/>
          <w:szCs w:val="24"/>
          <w:highlight w:val="none"/>
        </w:rPr>
        <w:t>（二）打餐式午餐标准</w:t>
      </w:r>
      <w:r>
        <w:rPr>
          <w:rFonts w:hint="eastAsia" w:ascii="宋体" w:hAnsi="宋体"/>
          <w:color w:val="auto"/>
          <w:spacing w:val="-120"/>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pacing w:val="-108"/>
          <w:sz w:val="24"/>
          <w:szCs w:val="24"/>
          <w:highlight w:val="none"/>
        </w:rPr>
        <w:t xml:space="preserve"> </w:t>
      </w:r>
      <w:r>
        <w:rPr>
          <w:rFonts w:hint="eastAsia" w:ascii="宋体" w:hAnsi="宋体"/>
          <w:color w:val="auto"/>
          <w:spacing w:val="-10"/>
          <w:sz w:val="24"/>
          <w:szCs w:val="24"/>
          <w:highlight w:val="none"/>
        </w:rPr>
        <w:t>元/人，菜可任选两荤两素（注：必须提供四荤四素，小吃</w:t>
      </w:r>
      <w:r>
        <w:rPr>
          <w:rFonts w:hint="eastAsia" w:ascii="宋体" w:hAnsi="宋体"/>
          <w:color w:val="auto"/>
          <w:spacing w:val="-48"/>
          <w:sz w:val="24"/>
          <w:szCs w:val="24"/>
          <w:highlight w:val="none"/>
        </w:rPr>
        <w:t>），</w:t>
      </w:r>
      <w:r>
        <w:rPr>
          <w:rFonts w:hint="eastAsia" w:ascii="宋体" w:hAnsi="宋体"/>
          <w:color w:val="auto"/>
          <w:spacing w:val="-2"/>
          <w:sz w:val="24"/>
          <w:szCs w:val="24"/>
          <w:highlight w:val="none"/>
        </w:rPr>
        <w:t>主食至少包括米饭、面食，其他至少包括汤、调味、酸奶或水果等。</w:t>
      </w:r>
    </w:p>
    <w:p w14:paraId="4BC73F24">
      <w:pPr>
        <w:spacing w:line="340" w:lineRule="auto"/>
        <w:ind w:right="99"/>
        <w:rPr>
          <w:rFonts w:hint="eastAsia" w:ascii="宋体" w:hAnsi="宋体"/>
          <w:color w:val="auto"/>
          <w:sz w:val="24"/>
          <w:szCs w:val="24"/>
          <w:highlight w:val="none"/>
        </w:rPr>
      </w:pPr>
      <w:r>
        <w:rPr>
          <w:rFonts w:hint="eastAsia" w:ascii="宋体" w:hAnsi="宋体"/>
          <w:color w:val="auto"/>
          <w:spacing w:val="-1"/>
          <w:sz w:val="24"/>
          <w:szCs w:val="24"/>
          <w:highlight w:val="none"/>
        </w:rPr>
        <w:t>二、外卖商品根据职工需求，每周五上午提供下周外卖品清单，外卖商品价格</w:t>
      </w:r>
      <w:r>
        <w:rPr>
          <w:rFonts w:hint="eastAsia" w:ascii="宋体" w:hAnsi="宋体"/>
          <w:color w:val="auto"/>
          <w:spacing w:val="-3"/>
          <w:sz w:val="24"/>
          <w:szCs w:val="24"/>
          <w:highlight w:val="none"/>
        </w:rPr>
        <w:t>由乙方自主定价且不超过市场价，经甲方审核同意后实施。</w:t>
      </w:r>
    </w:p>
    <w:p w14:paraId="35CE163B">
      <w:pPr>
        <w:spacing w:before="88"/>
        <w:rPr>
          <w:rFonts w:hint="eastAsia" w:ascii="宋体" w:hAnsi="宋体"/>
          <w:color w:val="auto"/>
          <w:sz w:val="24"/>
          <w:szCs w:val="24"/>
          <w:highlight w:val="none"/>
        </w:rPr>
      </w:pPr>
      <w:r>
        <w:rPr>
          <w:rFonts w:hint="eastAsia" w:ascii="宋体" w:hAnsi="宋体"/>
          <w:b/>
          <w:bCs/>
          <w:color w:val="auto"/>
          <w:spacing w:val="-6"/>
          <w:sz w:val="24"/>
          <w:szCs w:val="24"/>
          <w:highlight w:val="none"/>
        </w:rPr>
        <w:t>第三条</w:t>
      </w:r>
      <w:r>
        <w:rPr>
          <w:rFonts w:hint="eastAsia" w:ascii="宋体" w:hAnsi="宋体"/>
          <w:color w:val="auto"/>
          <w:spacing w:val="32"/>
          <w:sz w:val="24"/>
          <w:szCs w:val="24"/>
          <w:highlight w:val="none"/>
        </w:rPr>
        <w:t xml:space="preserve">  </w:t>
      </w:r>
      <w:r>
        <w:rPr>
          <w:rFonts w:hint="eastAsia" w:ascii="宋体" w:hAnsi="宋体"/>
          <w:color w:val="auto"/>
          <w:spacing w:val="-6"/>
          <w:sz w:val="24"/>
          <w:szCs w:val="24"/>
          <w:highlight w:val="none"/>
        </w:rPr>
        <w:t>日常管理服务要求</w:t>
      </w:r>
    </w:p>
    <w:p w14:paraId="3E379A38">
      <w:pPr>
        <w:tabs>
          <w:tab w:val="left" w:pos="8180"/>
          <w:tab w:val="left" w:pos="8400"/>
        </w:tabs>
        <w:spacing w:before="78" w:line="429" w:lineRule="auto"/>
        <w:ind w:right="-101" w:firstLine="476" w:firstLineChars="200"/>
        <w:rPr>
          <w:rFonts w:hint="eastAsia" w:ascii="宋体" w:hAnsi="宋体"/>
          <w:color w:val="auto"/>
          <w:sz w:val="24"/>
          <w:szCs w:val="24"/>
          <w:highlight w:val="none"/>
        </w:rPr>
      </w:pPr>
      <w:r>
        <w:rPr>
          <w:rFonts w:hint="eastAsia" w:ascii="宋体" w:hAnsi="宋体"/>
          <w:color w:val="auto"/>
          <w:spacing w:val="-1"/>
          <w:sz w:val="24"/>
          <w:szCs w:val="24"/>
          <w:highlight w:val="none"/>
        </w:rPr>
        <w:t>乙方应在本合同履行期限内，按专业化要求配置服务人员，配备、调整服务人员</w:t>
      </w:r>
      <w:r>
        <w:rPr>
          <w:rFonts w:hint="eastAsia" w:ascii="宋体" w:hAnsi="宋体"/>
          <w:color w:val="auto"/>
          <w:spacing w:val="-2"/>
          <w:sz w:val="24"/>
          <w:szCs w:val="24"/>
          <w:highlight w:val="none"/>
        </w:rPr>
        <w:t>必须</w:t>
      </w:r>
      <w:r>
        <w:rPr>
          <w:rFonts w:hint="eastAsia" w:ascii="宋体" w:hAnsi="宋体"/>
          <w:color w:val="auto"/>
          <w:sz w:val="24"/>
          <w:szCs w:val="24"/>
          <w:highlight w:val="none"/>
        </w:rPr>
        <w:t>经甲方同意；食堂服务与收费质价相符；本项目</w:t>
      </w:r>
      <w:r>
        <w:rPr>
          <w:rFonts w:hint="eastAsia" w:ascii="宋体" w:hAnsi="宋体"/>
          <w:color w:val="auto"/>
          <w:spacing w:val="-1"/>
          <w:sz w:val="24"/>
          <w:szCs w:val="24"/>
          <w:highlight w:val="none"/>
        </w:rPr>
        <w:t>食堂区域内所有食堂服务达到甲方在采购文件中提出的、乙方在投标文件里承诺的以及在管理服务方</w:t>
      </w:r>
      <w:r>
        <w:rPr>
          <w:rFonts w:hint="eastAsia" w:ascii="宋体" w:hAnsi="宋体"/>
          <w:color w:val="auto"/>
          <w:spacing w:val="-2"/>
          <w:sz w:val="24"/>
          <w:szCs w:val="24"/>
          <w:highlight w:val="none"/>
        </w:rPr>
        <w:t>案中具体表明的质量标准。</w:t>
      </w:r>
      <w:r>
        <w:rPr>
          <w:rFonts w:hint="eastAsia" w:ascii="宋体" w:hAnsi="宋体"/>
          <w:color w:val="auto"/>
          <w:spacing w:val="-5"/>
          <w:sz w:val="24"/>
          <w:szCs w:val="24"/>
          <w:highlight w:val="none"/>
        </w:rPr>
        <w:t>一、乙方应编制科学合理的每周食谱及接待餐单，并根据季节等情况及时创新和</w:t>
      </w:r>
      <w:r>
        <w:rPr>
          <w:rFonts w:hint="eastAsia" w:ascii="宋体" w:hAnsi="宋体"/>
          <w:color w:val="auto"/>
          <w:spacing w:val="-6"/>
          <w:sz w:val="24"/>
          <w:szCs w:val="24"/>
          <w:highlight w:val="none"/>
        </w:rPr>
        <w:t>调配，不得使用预制菜品，应</w:t>
      </w:r>
      <w:r>
        <w:rPr>
          <w:rFonts w:hint="eastAsia" w:ascii="宋体" w:hAnsi="宋体"/>
          <w:color w:val="auto"/>
          <w:spacing w:val="-2"/>
          <w:sz w:val="24"/>
          <w:szCs w:val="24"/>
          <w:highlight w:val="none"/>
        </w:rPr>
        <w:t>不断更换花色品种，提高烹调技术，改善制作方法，做到色、香、味俱佳。</w:t>
      </w:r>
    </w:p>
    <w:p w14:paraId="76242670">
      <w:pPr>
        <w:spacing w:before="3" w:line="429" w:lineRule="auto"/>
        <w:ind w:right="99"/>
        <w:rPr>
          <w:rFonts w:hint="eastAsia" w:ascii="宋体" w:hAnsi="宋体"/>
          <w:color w:val="auto"/>
          <w:sz w:val="24"/>
          <w:szCs w:val="24"/>
          <w:highlight w:val="none"/>
        </w:rPr>
      </w:pPr>
      <w:r>
        <w:rPr>
          <w:rFonts w:hint="eastAsia" w:ascii="宋体" w:hAnsi="宋体"/>
          <w:color w:val="auto"/>
          <w:spacing w:val="-1"/>
          <w:sz w:val="24"/>
          <w:szCs w:val="24"/>
          <w:highlight w:val="none"/>
        </w:rPr>
        <w:t>二、乙方应根据有关法律、法规，结合工作实际情况，制定相应的管理规定，按照合</w:t>
      </w:r>
      <w:r>
        <w:rPr>
          <w:rFonts w:hint="eastAsia" w:ascii="宋体" w:hAnsi="宋体"/>
          <w:color w:val="auto"/>
          <w:sz w:val="24"/>
          <w:szCs w:val="24"/>
          <w:highlight w:val="none"/>
        </w:rPr>
        <w:t>同要求及酒店餐饮管理模式对甲方食堂实施全面管</w:t>
      </w:r>
      <w:r>
        <w:rPr>
          <w:rFonts w:hint="eastAsia" w:ascii="宋体" w:hAnsi="宋体"/>
          <w:color w:val="auto"/>
          <w:spacing w:val="-1"/>
          <w:sz w:val="24"/>
          <w:szCs w:val="24"/>
          <w:highlight w:val="none"/>
        </w:rPr>
        <w:t>理，确保服务</w:t>
      </w:r>
      <w:r>
        <w:rPr>
          <w:rFonts w:hint="eastAsia" w:ascii="宋体" w:hAnsi="宋体"/>
          <w:color w:val="auto"/>
          <w:spacing w:val="-3"/>
          <w:sz w:val="24"/>
          <w:szCs w:val="24"/>
          <w:highlight w:val="none"/>
        </w:rPr>
        <w:t>质量，自觉接受甲方的监督检查。</w:t>
      </w:r>
    </w:p>
    <w:p w14:paraId="63E39D8E">
      <w:pPr>
        <w:spacing w:before="3" w:line="429" w:lineRule="auto"/>
        <w:ind w:right="-101"/>
        <w:rPr>
          <w:rFonts w:hint="eastAsia" w:ascii="宋体" w:hAnsi="宋体"/>
          <w:color w:val="auto"/>
          <w:sz w:val="24"/>
          <w:szCs w:val="24"/>
          <w:highlight w:val="none"/>
        </w:rPr>
      </w:pPr>
      <w:r>
        <w:rPr>
          <w:rFonts w:hint="eastAsia" w:ascii="宋体" w:hAnsi="宋体"/>
          <w:color w:val="auto"/>
          <w:sz w:val="24"/>
          <w:szCs w:val="24"/>
          <w:highlight w:val="none"/>
        </w:rPr>
        <w:t>三、乙方应按投标文件承诺配齐食堂工作人员，确保完</w:t>
      </w:r>
      <w:r>
        <w:rPr>
          <w:rFonts w:hint="eastAsia" w:ascii="宋体" w:hAnsi="宋体"/>
          <w:color w:val="auto"/>
          <w:spacing w:val="-1"/>
          <w:sz w:val="24"/>
          <w:szCs w:val="24"/>
          <w:highlight w:val="none"/>
        </w:rPr>
        <w:t>成服务任务。 在首次进场服</w:t>
      </w:r>
      <w:r>
        <w:rPr>
          <w:rFonts w:hint="eastAsia" w:ascii="宋体" w:hAnsi="宋体"/>
          <w:color w:val="auto"/>
          <w:sz w:val="24"/>
          <w:szCs w:val="24"/>
          <w:highlight w:val="none"/>
        </w:rPr>
        <w:t>务中，乙方派出服务于本项目的项目经理、总厨</w:t>
      </w:r>
      <w:r>
        <w:rPr>
          <w:rFonts w:hint="eastAsia" w:ascii="宋体" w:hAnsi="宋体"/>
          <w:color w:val="auto"/>
          <w:spacing w:val="-1"/>
          <w:sz w:val="24"/>
          <w:szCs w:val="24"/>
          <w:highlight w:val="none"/>
        </w:rPr>
        <w:t>、厨师等与投标承诺人员的不符，甲方有权</w:t>
      </w:r>
      <w:r>
        <w:rPr>
          <w:rFonts w:hint="eastAsia" w:ascii="宋体" w:hAnsi="宋体"/>
          <w:color w:val="auto"/>
          <w:spacing w:val="-7"/>
          <w:sz w:val="24"/>
          <w:szCs w:val="24"/>
          <w:highlight w:val="none"/>
        </w:rPr>
        <w:t>直接扣除费用2000</w:t>
      </w:r>
      <w:r>
        <w:rPr>
          <w:rFonts w:hint="eastAsia" w:ascii="宋体" w:hAnsi="宋体"/>
          <w:color w:val="auto"/>
          <w:spacing w:val="-51"/>
          <w:sz w:val="24"/>
          <w:szCs w:val="24"/>
          <w:highlight w:val="none"/>
        </w:rPr>
        <w:t xml:space="preserve"> </w:t>
      </w:r>
      <w:r>
        <w:rPr>
          <w:rFonts w:hint="eastAsia" w:ascii="宋体" w:hAnsi="宋体"/>
          <w:color w:val="auto"/>
          <w:spacing w:val="-7"/>
          <w:sz w:val="24"/>
          <w:szCs w:val="24"/>
          <w:highlight w:val="none"/>
        </w:rPr>
        <w:t>元</w:t>
      </w:r>
      <w:r>
        <w:rPr>
          <w:rFonts w:hint="eastAsia" w:ascii="宋体" w:hAnsi="宋体"/>
          <w:color w:val="auto"/>
          <w:spacing w:val="-28"/>
          <w:sz w:val="24"/>
          <w:szCs w:val="24"/>
          <w:highlight w:val="none"/>
        </w:rPr>
        <w:t xml:space="preserve"> </w:t>
      </w:r>
      <w:r>
        <w:rPr>
          <w:rFonts w:hint="eastAsia" w:ascii="宋体" w:hAnsi="宋体"/>
          <w:color w:val="auto"/>
          <w:spacing w:val="-7"/>
          <w:sz w:val="24"/>
          <w:szCs w:val="24"/>
          <w:highlight w:val="none"/>
        </w:rPr>
        <w:t>·人/次，后续服务中遇人员更换的按合同内人员更换的条款执行。</w:t>
      </w:r>
    </w:p>
    <w:p w14:paraId="2E204EFE">
      <w:pPr>
        <w:tabs>
          <w:tab w:val="left" w:pos="7140"/>
        </w:tabs>
        <w:spacing w:before="3" w:line="429" w:lineRule="auto"/>
        <w:ind w:right="99"/>
        <w:rPr>
          <w:rFonts w:hint="eastAsia" w:ascii="宋体" w:hAnsi="宋体"/>
          <w:color w:val="auto"/>
          <w:sz w:val="24"/>
          <w:szCs w:val="24"/>
          <w:highlight w:val="none"/>
        </w:rPr>
      </w:pPr>
      <w:r>
        <w:rPr>
          <w:rFonts w:hint="eastAsia" w:ascii="宋体" w:hAnsi="宋体"/>
          <w:color w:val="auto"/>
          <w:spacing w:val="-6"/>
          <w:sz w:val="24"/>
          <w:szCs w:val="24"/>
          <w:highlight w:val="none"/>
        </w:rPr>
        <w:t>四、乙方应制定对服务人员的管理制度和食堂卫生管理制度，要求服务人员严格遵守</w:t>
      </w:r>
      <w:r>
        <w:rPr>
          <w:rFonts w:hint="eastAsia" w:ascii="宋体" w:hAnsi="宋体"/>
          <w:color w:val="auto"/>
          <w:sz w:val="24"/>
          <w:szCs w:val="24"/>
          <w:highlight w:val="none"/>
        </w:rPr>
        <w:t>各项规章制度和劳动纪律，坚守工作岗位，服从</w:t>
      </w:r>
      <w:r>
        <w:rPr>
          <w:rFonts w:hint="eastAsia" w:ascii="宋体" w:hAnsi="宋体"/>
          <w:color w:val="auto"/>
          <w:spacing w:val="-1"/>
          <w:sz w:val="24"/>
          <w:szCs w:val="24"/>
          <w:highlight w:val="none"/>
        </w:rPr>
        <w:t>工作安排，未经同意不得擅自离岗。要牢</w:t>
      </w:r>
      <w:r>
        <w:rPr>
          <w:rFonts w:hint="eastAsia" w:ascii="宋体" w:hAnsi="宋体"/>
          <w:color w:val="auto"/>
          <w:spacing w:val="-2"/>
          <w:sz w:val="24"/>
          <w:szCs w:val="24"/>
          <w:highlight w:val="none"/>
        </w:rPr>
        <w:t>固树立服务意识，态度热情，服务周到，文明待人，礼貌用语。</w:t>
      </w:r>
    </w:p>
    <w:p w14:paraId="28832A29">
      <w:pPr>
        <w:spacing w:before="1" w:line="432" w:lineRule="auto"/>
        <w:ind w:right="99"/>
        <w:rPr>
          <w:rFonts w:hint="eastAsia" w:ascii="宋体" w:hAnsi="宋体"/>
          <w:color w:val="auto"/>
          <w:sz w:val="24"/>
          <w:szCs w:val="24"/>
          <w:highlight w:val="none"/>
        </w:rPr>
      </w:pPr>
      <w:r>
        <w:rPr>
          <w:rFonts w:hint="eastAsia" w:ascii="宋体" w:hAnsi="宋体"/>
          <w:color w:val="auto"/>
          <w:spacing w:val="-5"/>
          <w:sz w:val="24"/>
          <w:szCs w:val="24"/>
          <w:highlight w:val="none"/>
        </w:rPr>
        <w:t>五、乙方负责服务人员的培训管理，必须与相</w:t>
      </w:r>
      <w:r>
        <w:rPr>
          <w:rFonts w:hint="eastAsia" w:ascii="宋体" w:hAnsi="宋体"/>
          <w:color w:val="auto"/>
          <w:spacing w:val="-6"/>
          <w:sz w:val="24"/>
          <w:szCs w:val="24"/>
          <w:highlight w:val="none"/>
        </w:rPr>
        <w:t>关服务人员签订劳动合同后方可派驻甲</w:t>
      </w:r>
      <w:r>
        <w:rPr>
          <w:rFonts w:hint="eastAsia" w:ascii="宋体" w:hAnsi="宋体"/>
          <w:color w:val="auto"/>
          <w:spacing w:val="-12"/>
          <w:sz w:val="24"/>
          <w:szCs w:val="24"/>
          <w:highlight w:val="none"/>
        </w:rPr>
        <w:t>方。</w:t>
      </w:r>
    </w:p>
    <w:p w14:paraId="4AF53019">
      <w:pPr>
        <w:spacing w:before="3" w:line="429" w:lineRule="auto"/>
        <w:ind w:right="99"/>
        <w:rPr>
          <w:rFonts w:hint="eastAsia" w:ascii="宋体" w:hAnsi="宋体"/>
          <w:color w:val="auto"/>
          <w:sz w:val="24"/>
          <w:szCs w:val="24"/>
          <w:highlight w:val="none"/>
        </w:rPr>
      </w:pPr>
      <w:r>
        <w:rPr>
          <w:rFonts w:hint="eastAsia" w:ascii="宋体" w:hAnsi="宋体"/>
          <w:color w:val="auto"/>
          <w:sz w:val="24"/>
          <w:szCs w:val="24"/>
          <w:highlight w:val="none"/>
        </w:rPr>
        <w:t>六、所有工作人员要求身体健康、无任何传</w:t>
      </w:r>
      <w:r>
        <w:rPr>
          <w:rFonts w:hint="eastAsia" w:ascii="宋体" w:hAnsi="宋体"/>
          <w:color w:val="auto"/>
          <w:spacing w:val="-1"/>
          <w:sz w:val="24"/>
          <w:szCs w:val="24"/>
          <w:highlight w:val="none"/>
        </w:rPr>
        <w:t>染性疾病，要定期进行健康体检，取得健</w:t>
      </w:r>
      <w:r>
        <w:rPr>
          <w:rFonts w:hint="eastAsia" w:ascii="宋体" w:hAnsi="宋体"/>
          <w:color w:val="auto"/>
          <w:sz w:val="24"/>
          <w:szCs w:val="24"/>
          <w:highlight w:val="none"/>
        </w:rPr>
        <w:t>康合格证后方可上岗。如出现咳嗽、腹泻、发热、呕吐</w:t>
      </w:r>
      <w:r>
        <w:rPr>
          <w:rFonts w:hint="eastAsia" w:ascii="宋体" w:hAnsi="宋体"/>
          <w:color w:val="auto"/>
          <w:spacing w:val="-1"/>
          <w:sz w:val="24"/>
          <w:szCs w:val="24"/>
          <w:highlight w:val="none"/>
        </w:rPr>
        <w:t>等症状时，须脱离工作岗位，治愈</w:t>
      </w:r>
      <w:r>
        <w:rPr>
          <w:rFonts w:hint="eastAsia" w:ascii="宋体" w:hAnsi="宋体"/>
          <w:color w:val="auto"/>
          <w:spacing w:val="-6"/>
          <w:sz w:val="24"/>
          <w:szCs w:val="24"/>
          <w:highlight w:val="none"/>
        </w:rPr>
        <w:t>后方可上岗。</w:t>
      </w:r>
    </w:p>
    <w:p w14:paraId="3B431AAE">
      <w:pPr>
        <w:tabs>
          <w:tab w:val="left" w:pos="8400"/>
        </w:tabs>
        <w:spacing w:before="4" w:line="429" w:lineRule="auto"/>
        <w:ind w:right="99"/>
        <w:rPr>
          <w:rFonts w:hint="eastAsia" w:ascii="宋体" w:hAnsi="宋体"/>
          <w:color w:val="auto"/>
          <w:sz w:val="24"/>
          <w:szCs w:val="24"/>
          <w:highlight w:val="none"/>
        </w:rPr>
      </w:pPr>
      <w:r>
        <w:rPr>
          <w:rFonts w:hint="eastAsia" w:ascii="宋体" w:hAnsi="宋体"/>
          <w:color w:val="auto"/>
          <w:spacing w:val="-8"/>
          <w:sz w:val="24"/>
          <w:szCs w:val="24"/>
          <w:highlight w:val="none"/>
        </w:rPr>
        <w:t>七、接受甲方的监督， 提供优质餐饮服务。食品加工要加强计划性，建立每周食谱制，</w:t>
      </w:r>
      <w:r>
        <w:rPr>
          <w:rFonts w:hint="eastAsia" w:ascii="宋体" w:hAnsi="宋体"/>
          <w:color w:val="auto"/>
          <w:sz w:val="24"/>
          <w:szCs w:val="24"/>
          <w:highlight w:val="none"/>
        </w:rPr>
        <w:t>制定食品质量标准，建立各项操作规程和考核制度，做到食品加工时间</w:t>
      </w:r>
      <w:r>
        <w:rPr>
          <w:rFonts w:hint="eastAsia" w:ascii="宋体" w:hAnsi="宋体"/>
          <w:color w:val="auto"/>
          <w:spacing w:val="-1"/>
          <w:sz w:val="24"/>
          <w:szCs w:val="24"/>
          <w:highlight w:val="none"/>
        </w:rPr>
        <w:t>省，损耗小，质量</w:t>
      </w:r>
      <w:r>
        <w:rPr>
          <w:rFonts w:hint="eastAsia" w:ascii="宋体" w:hAnsi="宋体"/>
          <w:color w:val="auto"/>
          <w:spacing w:val="-4"/>
          <w:sz w:val="24"/>
          <w:szCs w:val="24"/>
          <w:highlight w:val="none"/>
        </w:rPr>
        <w:t>优，杜绝浪费行为发生。</w:t>
      </w:r>
    </w:p>
    <w:p w14:paraId="186358C2">
      <w:pPr>
        <w:spacing w:line="429" w:lineRule="auto"/>
        <w:ind w:right="99"/>
        <w:rPr>
          <w:rFonts w:hint="eastAsia" w:ascii="宋体" w:hAnsi="宋体"/>
          <w:color w:val="auto"/>
          <w:spacing w:val="-2"/>
          <w:sz w:val="24"/>
          <w:szCs w:val="24"/>
          <w:highlight w:val="none"/>
        </w:rPr>
      </w:pPr>
      <w:r>
        <w:rPr>
          <w:rFonts w:hint="eastAsia" w:ascii="宋体" w:hAnsi="宋体"/>
          <w:color w:val="auto"/>
          <w:spacing w:val="-1"/>
          <w:sz w:val="24"/>
          <w:szCs w:val="24"/>
          <w:highlight w:val="none"/>
        </w:rPr>
        <w:t>八、爱护食堂所有设备设施，对损坏的设施要及时上报维修，非正常损失由相关责任</w:t>
      </w:r>
      <w:r>
        <w:rPr>
          <w:rFonts w:hint="eastAsia" w:ascii="宋体" w:hAnsi="宋体"/>
          <w:color w:val="auto"/>
          <w:sz w:val="24"/>
          <w:szCs w:val="24"/>
          <w:highlight w:val="none"/>
        </w:rPr>
        <w:t>人赔偿。严禁带无关人员进入厨房和储藏室。工作</w:t>
      </w:r>
      <w:r>
        <w:rPr>
          <w:rFonts w:hint="eastAsia" w:ascii="宋体" w:hAnsi="宋体"/>
          <w:color w:val="auto"/>
          <w:spacing w:val="-1"/>
          <w:sz w:val="24"/>
          <w:szCs w:val="24"/>
          <w:highlight w:val="none"/>
        </w:rPr>
        <w:t>人员在操作中节约用电、用水、用气，</w:t>
      </w:r>
      <w:r>
        <w:rPr>
          <w:rFonts w:hint="eastAsia" w:ascii="宋体" w:hAnsi="宋体"/>
          <w:color w:val="auto"/>
          <w:spacing w:val="-2"/>
          <w:sz w:val="24"/>
          <w:szCs w:val="24"/>
          <w:highlight w:val="none"/>
        </w:rPr>
        <w:t>防止跑、冒、滴、漏，厉行勤俭节约，杜绝铺张浪费。</w:t>
      </w:r>
    </w:p>
    <w:p w14:paraId="3650D242">
      <w:pPr>
        <w:spacing w:before="78" w:line="429" w:lineRule="auto"/>
        <w:ind w:right="99"/>
        <w:rPr>
          <w:rFonts w:hint="eastAsia" w:ascii="宋体" w:hAnsi="宋体"/>
          <w:color w:val="auto"/>
          <w:sz w:val="24"/>
          <w:szCs w:val="24"/>
          <w:highlight w:val="none"/>
        </w:rPr>
      </w:pPr>
      <w:r>
        <w:rPr>
          <w:rFonts w:hint="eastAsia" w:ascii="宋体" w:hAnsi="宋体"/>
          <w:color w:val="auto"/>
          <w:spacing w:val="-9"/>
          <w:sz w:val="24"/>
          <w:szCs w:val="24"/>
          <w:highlight w:val="none"/>
        </w:rPr>
        <w:t>九、要严格执行餐具、炊具等物品清洗规定，</w:t>
      </w:r>
      <w:r>
        <w:rPr>
          <w:rFonts w:hint="eastAsia" w:ascii="宋体" w:hAnsi="宋体"/>
          <w:color w:val="auto"/>
          <w:spacing w:val="-39"/>
          <w:sz w:val="24"/>
          <w:szCs w:val="24"/>
          <w:highlight w:val="none"/>
        </w:rPr>
        <w:t xml:space="preserve"> </w:t>
      </w:r>
      <w:r>
        <w:rPr>
          <w:rFonts w:hint="eastAsia" w:ascii="宋体" w:hAnsi="宋体"/>
          <w:color w:val="auto"/>
          <w:spacing w:val="-9"/>
          <w:sz w:val="24"/>
          <w:szCs w:val="24"/>
          <w:highlight w:val="none"/>
        </w:rPr>
        <w:t>消毒工作要落实专人负责，切实执行“一</w:t>
      </w:r>
      <w:r>
        <w:rPr>
          <w:rFonts w:hint="eastAsia" w:ascii="宋体" w:hAnsi="宋体"/>
          <w:color w:val="auto"/>
          <w:spacing w:val="-2"/>
          <w:sz w:val="24"/>
          <w:szCs w:val="24"/>
          <w:highlight w:val="none"/>
        </w:rPr>
        <w:t>洗、二清、三消毒”的清洁程序，防止传染病的发生。</w:t>
      </w:r>
    </w:p>
    <w:p w14:paraId="559F0844">
      <w:pPr>
        <w:tabs>
          <w:tab w:val="left" w:pos="8200"/>
        </w:tabs>
        <w:spacing w:before="4" w:line="429" w:lineRule="auto"/>
        <w:ind w:right="99"/>
        <w:rPr>
          <w:rFonts w:hint="eastAsia" w:ascii="宋体" w:hAnsi="宋体"/>
          <w:color w:val="auto"/>
          <w:sz w:val="24"/>
          <w:szCs w:val="24"/>
          <w:highlight w:val="none"/>
        </w:rPr>
      </w:pPr>
      <w:r>
        <w:rPr>
          <w:rFonts w:hint="eastAsia" w:ascii="宋体" w:hAnsi="宋体"/>
          <w:color w:val="auto"/>
          <w:sz w:val="24"/>
          <w:szCs w:val="24"/>
          <w:highlight w:val="none"/>
        </w:rPr>
        <w:t>十、实行卫生岗位责任制，将卫生区详细划分</w:t>
      </w:r>
      <w:r>
        <w:rPr>
          <w:rFonts w:hint="eastAsia" w:ascii="宋体" w:hAnsi="宋体"/>
          <w:color w:val="auto"/>
          <w:spacing w:val="-1"/>
          <w:sz w:val="24"/>
          <w:szCs w:val="24"/>
          <w:highlight w:val="none"/>
        </w:rPr>
        <w:t>落实到专人负责，坚持厨房、餐厅每餐</w:t>
      </w:r>
      <w:r>
        <w:rPr>
          <w:rFonts w:hint="eastAsia" w:ascii="宋体" w:hAnsi="宋体"/>
          <w:color w:val="auto"/>
          <w:sz w:val="24"/>
          <w:szCs w:val="24"/>
          <w:highlight w:val="none"/>
        </w:rPr>
        <w:t>后清扫、擦净，每周五下午集中进行一次卫生大扫除，保持</w:t>
      </w:r>
      <w:r>
        <w:rPr>
          <w:rFonts w:hint="eastAsia" w:ascii="宋体" w:hAnsi="宋体"/>
          <w:color w:val="auto"/>
          <w:spacing w:val="-1"/>
          <w:sz w:val="24"/>
          <w:szCs w:val="24"/>
          <w:highlight w:val="none"/>
        </w:rPr>
        <w:t>卫生、整洁，要求做到窗明几净、墙面洁白、无蜘蛛网、浮灰，厨房无油污，桌面无油迹、杂物，地面光亮；冰柜、冰</w:t>
      </w:r>
      <w:r>
        <w:rPr>
          <w:rFonts w:hint="eastAsia" w:ascii="宋体" w:hAnsi="宋体"/>
          <w:color w:val="auto"/>
          <w:sz w:val="24"/>
          <w:szCs w:val="24"/>
          <w:highlight w:val="none"/>
        </w:rPr>
        <w:t>箱定期（每周一次）清理、除霜、消除异味；保持排</w:t>
      </w:r>
      <w:r>
        <w:rPr>
          <w:rFonts w:hint="eastAsia" w:ascii="宋体" w:hAnsi="宋体"/>
          <w:color w:val="auto"/>
          <w:spacing w:val="-1"/>
          <w:sz w:val="24"/>
          <w:szCs w:val="24"/>
          <w:highlight w:val="none"/>
        </w:rPr>
        <w:t>水畅通，污水应及时倒入污水池，不</w:t>
      </w:r>
      <w:r>
        <w:rPr>
          <w:rFonts w:hint="eastAsia" w:ascii="宋体" w:hAnsi="宋体"/>
          <w:color w:val="auto"/>
          <w:spacing w:val="-6"/>
          <w:sz w:val="24"/>
          <w:szCs w:val="24"/>
          <w:highlight w:val="none"/>
        </w:rPr>
        <w:t>积存脏水污物。</w:t>
      </w:r>
    </w:p>
    <w:p w14:paraId="510CEDD2">
      <w:pPr>
        <w:spacing w:before="3" w:line="429" w:lineRule="auto"/>
        <w:ind w:right="-101"/>
        <w:rPr>
          <w:rFonts w:hint="eastAsia" w:ascii="宋体" w:hAnsi="宋体"/>
          <w:color w:val="auto"/>
          <w:sz w:val="24"/>
          <w:szCs w:val="24"/>
          <w:highlight w:val="none"/>
        </w:rPr>
      </w:pPr>
      <w:r>
        <w:rPr>
          <w:rFonts w:hint="eastAsia" w:ascii="宋体" w:hAnsi="宋体"/>
          <w:color w:val="auto"/>
          <w:spacing w:val="-8"/>
          <w:sz w:val="24"/>
          <w:szCs w:val="24"/>
          <w:highlight w:val="none"/>
        </w:rPr>
        <w:t>十一、严格执行食品管理规定， 食品存放要做到分类上架摆放，食品生熟、荤素</w:t>
      </w:r>
      <w:r>
        <w:rPr>
          <w:rFonts w:hint="eastAsia" w:ascii="宋体" w:hAnsi="宋体"/>
          <w:color w:val="auto"/>
          <w:spacing w:val="-9"/>
          <w:sz w:val="24"/>
          <w:szCs w:val="24"/>
          <w:highlight w:val="none"/>
        </w:rPr>
        <w:t>分开，</w:t>
      </w:r>
      <w:r>
        <w:rPr>
          <w:rFonts w:hint="eastAsia" w:ascii="宋体" w:hAnsi="宋体"/>
          <w:color w:val="auto"/>
          <w:sz w:val="24"/>
          <w:szCs w:val="24"/>
          <w:highlight w:val="none"/>
        </w:rPr>
        <w:t>容易腐烂变质食品要冷藏保存，防止食品交叉感染，所有食品要注意防火、防鼠、防</w:t>
      </w:r>
      <w:r>
        <w:rPr>
          <w:rFonts w:hint="eastAsia" w:ascii="宋体" w:hAnsi="宋体"/>
          <w:color w:val="auto"/>
          <w:spacing w:val="-1"/>
          <w:sz w:val="24"/>
          <w:szCs w:val="24"/>
          <w:highlight w:val="none"/>
        </w:rPr>
        <w:t>虫、</w:t>
      </w:r>
      <w:r>
        <w:rPr>
          <w:rFonts w:hint="eastAsia" w:ascii="宋体" w:hAnsi="宋体"/>
          <w:color w:val="auto"/>
          <w:spacing w:val="-9"/>
          <w:sz w:val="24"/>
          <w:szCs w:val="24"/>
          <w:highlight w:val="none"/>
        </w:rPr>
        <w:t>防霉变。</w:t>
      </w:r>
    </w:p>
    <w:p w14:paraId="780C7850">
      <w:pPr>
        <w:spacing w:before="3" w:line="429" w:lineRule="auto"/>
        <w:ind w:right="99"/>
        <w:rPr>
          <w:rFonts w:hint="eastAsia" w:ascii="宋体" w:hAnsi="宋体"/>
          <w:color w:val="auto"/>
          <w:sz w:val="24"/>
          <w:szCs w:val="24"/>
          <w:highlight w:val="none"/>
        </w:rPr>
      </w:pPr>
      <w:r>
        <w:rPr>
          <w:rFonts w:hint="eastAsia" w:ascii="宋体" w:hAnsi="宋体"/>
          <w:color w:val="auto"/>
          <w:sz w:val="24"/>
          <w:szCs w:val="24"/>
          <w:highlight w:val="none"/>
        </w:rPr>
        <w:t>十二、使用炊事器具要严格遵守操作规程，易</w:t>
      </w:r>
      <w:r>
        <w:rPr>
          <w:rFonts w:hint="eastAsia" w:ascii="宋体" w:hAnsi="宋体"/>
          <w:color w:val="auto"/>
          <w:spacing w:val="-1"/>
          <w:sz w:val="24"/>
          <w:szCs w:val="24"/>
          <w:highlight w:val="none"/>
        </w:rPr>
        <w:t>燃易爆物品要严格按规定放置，对燃气</w:t>
      </w:r>
      <w:r>
        <w:rPr>
          <w:rFonts w:hint="eastAsia" w:ascii="宋体" w:hAnsi="宋体"/>
          <w:color w:val="auto"/>
          <w:sz w:val="24"/>
          <w:szCs w:val="24"/>
          <w:highlight w:val="none"/>
        </w:rPr>
        <w:t>灶具开关、燃气管、液化气瓶、减压阀等要定期进</w:t>
      </w:r>
      <w:r>
        <w:rPr>
          <w:rFonts w:hint="eastAsia" w:ascii="宋体" w:hAnsi="宋体"/>
          <w:color w:val="auto"/>
          <w:spacing w:val="-1"/>
          <w:sz w:val="24"/>
          <w:szCs w:val="24"/>
          <w:highlight w:val="none"/>
        </w:rPr>
        <w:t>行安全检查，下班前关好门窗，关闭天</w:t>
      </w:r>
      <w:r>
        <w:rPr>
          <w:rFonts w:hint="eastAsia" w:ascii="宋体" w:hAnsi="宋体"/>
          <w:color w:val="auto"/>
          <w:spacing w:val="-3"/>
          <w:sz w:val="24"/>
          <w:szCs w:val="24"/>
          <w:highlight w:val="none"/>
        </w:rPr>
        <w:t>然气及所有电源开关，防止发生意外事故。</w:t>
      </w:r>
    </w:p>
    <w:p w14:paraId="11708BE7">
      <w:pPr>
        <w:spacing w:before="1"/>
        <w:rPr>
          <w:rFonts w:hint="eastAsia" w:ascii="宋体" w:hAnsi="宋体"/>
          <w:color w:val="auto"/>
          <w:sz w:val="24"/>
          <w:szCs w:val="24"/>
          <w:highlight w:val="none"/>
        </w:rPr>
      </w:pPr>
      <w:r>
        <w:rPr>
          <w:rFonts w:hint="eastAsia" w:ascii="宋体" w:hAnsi="宋体"/>
          <w:color w:val="auto"/>
          <w:spacing w:val="-1"/>
          <w:sz w:val="24"/>
          <w:szCs w:val="24"/>
          <w:highlight w:val="none"/>
        </w:rPr>
        <w:t>十三、加强个人卫生，做到勤洗手、勤剪指甲、勤换工作</w:t>
      </w:r>
      <w:r>
        <w:rPr>
          <w:rFonts w:hint="eastAsia" w:ascii="宋体" w:hAnsi="宋体"/>
          <w:color w:val="auto"/>
          <w:spacing w:val="-2"/>
          <w:sz w:val="24"/>
          <w:szCs w:val="24"/>
          <w:highlight w:val="none"/>
        </w:rPr>
        <w:t>服，严禁在食堂吸烟。</w:t>
      </w:r>
    </w:p>
    <w:p w14:paraId="25B3D3B1">
      <w:pPr>
        <w:spacing w:before="277"/>
        <w:rPr>
          <w:rFonts w:hint="eastAsia" w:ascii="宋体" w:hAnsi="宋体"/>
          <w:color w:val="auto"/>
          <w:sz w:val="24"/>
          <w:szCs w:val="24"/>
          <w:highlight w:val="none"/>
        </w:rPr>
      </w:pPr>
      <w:r>
        <w:rPr>
          <w:rFonts w:hint="eastAsia" w:ascii="宋体" w:hAnsi="宋体"/>
          <w:color w:val="auto"/>
          <w:spacing w:val="-7"/>
          <w:sz w:val="24"/>
          <w:szCs w:val="24"/>
          <w:highlight w:val="none"/>
        </w:rPr>
        <w:t>十四、其它要求： 乙方应配合甲方开展各</w:t>
      </w:r>
      <w:r>
        <w:rPr>
          <w:rFonts w:hint="eastAsia" w:ascii="宋体" w:hAnsi="宋体"/>
          <w:color w:val="auto"/>
          <w:spacing w:val="-8"/>
          <w:sz w:val="24"/>
          <w:szCs w:val="24"/>
          <w:highlight w:val="none"/>
        </w:rPr>
        <w:t>类创建活动，配合属地社区开展的有关活动。</w:t>
      </w:r>
    </w:p>
    <w:p w14:paraId="7ECCFEAB">
      <w:pPr>
        <w:spacing w:before="277" w:line="429" w:lineRule="auto"/>
        <w:ind w:right="99"/>
        <w:rPr>
          <w:rFonts w:hint="eastAsia" w:ascii="宋体" w:hAnsi="宋体"/>
          <w:color w:val="auto"/>
          <w:sz w:val="24"/>
          <w:szCs w:val="24"/>
          <w:highlight w:val="none"/>
        </w:rPr>
      </w:pPr>
      <w:r>
        <w:rPr>
          <w:rFonts w:hint="eastAsia" w:ascii="宋体" w:hAnsi="宋体"/>
          <w:color w:val="auto"/>
          <w:spacing w:val="-1"/>
          <w:sz w:val="24"/>
          <w:szCs w:val="24"/>
          <w:highlight w:val="none"/>
        </w:rPr>
        <w:t>十五、乙方向甲方派驻的所有工作人员有责任维护甲方设施设备的安全和完好，因乙</w:t>
      </w:r>
      <w:r>
        <w:rPr>
          <w:rFonts w:hint="eastAsia" w:ascii="宋体" w:hAnsi="宋体"/>
          <w:color w:val="auto"/>
          <w:spacing w:val="-2"/>
          <w:sz w:val="24"/>
          <w:szCs w:val="24"/>
          <w:highlight w:val="none"/>
        </w:rPr>
        <w:t>方工作人员过失致甲方损失，乙方负全部责任并全额赔偿甲方损失。</w:t>
      </w:r>
    </w:p>
    <w:p w14:paraId="1952F05E">
      <w:pPr>
        <w:spacing w:before="1" w:line="429" w:lineRule="auto"/>
        <w:ind w:right="99"/>
        <w:rPr>
          <w:rFonts w:hint="eastAsia" w:ascii="宋体" w:hAnsi="宋体"/>
          <w:color w:val="auto"/>
          <w:sz w:val="24"/>
          <w:szCs w:val="24"/>
          <w:highlight w:val="none"/>
        </w:rPr>
      </w:pPr>
      <w:r>
        <w:rPr>
          <w:rFonts w:hint="eastAsia" w:ascii="宋体" w:hAnsi="宋体"/>
          <w:color w:val="auto"/>
          <w:sz w:val="24"/>
          <w:szCs w:val="24"/>
          <w:highlight w:val="none"/>
        </w:rPr>
        <w:t>十六、乙方应在本合同生效后十五日内为食堂办</w:t>
      </w:r>
      <w:r>
        <w:rPr>
          <w:rFonts w:hint="eastAsia" w:ascii="宋体" w:hAnsi="宋体"/>
          <w:color w:val="auto"/>
          <w:spacing w:val="-1"/>
          <w:sz w:val="24"/>
          <w:szCs w:val="24"/>
          <w:highlight w:val="none"/>
        </w:rPr>
        <w:t>理《食品经营许可证》及证书后续变</w:t>
      </w:r>
      <w:r>
        <w:rPr>
          <w:rFonts w:hint="eastAsia" w:ascii="宋体" w:hAnsi="宋体"/>
          <w:color w:val="auto"/>
          <w:spacing w:val="-7"/>
          <w:sz w:val="24"/>
          <w:szCs w:val="24"/>
          <w:highlight w:val="none"/>
        </w:rPr>
        <w:t>更、延续工作，并严格按照国家食品经营有关法律法规开展经营。如乙方未按规定完成《食</w:t>
      </w:r>
      <w:r>
        <w:rPr>
          <w:rFonts w:hint="eastAsia" w:ascii="宋体" w:hAnsi="宋体"/>
          <w:color w:val="auto"/>
          <w:sz w:val="24"/>
          <w:szCs w:val="24"/>
          <w:highlight w:val="none"/>
        </w:rPr>
        <w:t>品经营许可证》办理及证书后续变更、延续等工作，甲</w:t>
      </w:r>
      <w:r>
        <w:rPr>
          <w:rFonts w:hint="eastAsia" w:ascii="宋体" w:hAnsi="宋体"/>
          <w:color w:val="auto"/>
          <w:spacing w:val="-1"/>
          <w:sz w:val="24"/>
          <w:szCs w:val="24"/>
          <w:highlight w:val="none"/>
        </w:rPr>
        <w:t>方有权单方解除合同，并要求支付</w:t>
      </w:r>
      <w:r>
        <w:rPr>
          <w:rFonts w:hint="eastAsia" w:ascii="宋体" w:hAnsi="宋体"/>
          <w:color w:val="auto"/>
          <w:spacing w:val="-5"/>
          <w:sz w:val="24"/>
          <w:szCs w:val="24"/>
          <w:highlight w:val="none"/>
        </w:rPr>
        <w:t>合同价款的</w:t>
      </w:r>
      <w:r>
        <w:rPr>
          <w:rFonts w:hint="eastAsia" w:ascii="宋体" w:hAnsi="宋体"/>
          <w:color w:val="auto"/>
          <w:spacing w:val="-38"/>
          <w:sz w:val="24"/>
          <w:szCs w:val="24"/>
          <w:highlight w:val="none"/>
        </w:rPr>
        <w:t xml:space="preserve"> </w:t>
      </w:r>
      <w:r>
        <w:rPr>
          <w:rFonts w:hint="eastAsia" w:ascii="宋体" w:hAnsi="宋体"/>
          <w:color w:val="auto"/>
          <w:spacing w:val="-5"/>
          <w:sz w:val="24"/>
          <w:szCs w:val="24"/>
          <w:highlight w:val="none"/>
        </w:rPr>
        <w:t>5%作为违约金。</w:t>
      </w:r>
    </w:p>
    <w:p w14:paraId="1DDBFE92">
      <w:pPr>
        <w:pStyle w:val="238"/>
        <w:autoSpaceDE w:val="0"/>
        <w:spacing w:line="450" w:lineRule="exact"/>
        <w:rPr>
          <w:rFonts w:ascii="Times New Roman" w:hAnsi="Times New Roman"/>
          <w:color w:val="auto"/>
          <w:sz w:val="24"/>
          <w:szCs w:val="24"/>
          <w:highlight w:val="none"/>
        </w:rPr>
      </w:pPr>
      <w:r>
        <w:rPr>
          <w:rFonts w:hint="eastAsia" w:hAnsi="宋体"/>
          <w:color w:val="auto"/>
          <w:sz w:val="24"/>
          <w:szCs w:val="24"/>
          <w:highlight w:val="none"/>
        </w:rPr>
        <w:t>十七、乙方承包食堂期间，应当严格按照食品</w:t>
      </w:r>
      <w:r>
        <w:rPr>
          <w:rFonts w:hint="eastAsia" w:hAnsi="宋体"/>
          <w:color w:val="auto"/>
          <w:spacing w:val="-1"/>
          <w:sz w:val="24"/>
          <w:szCs w:val="24"/>
          <w:highlight w:val="none"/>
        </w:rPr>
        <w:t>安全卫生法律法规从事采购、验收、存</w:t>
      </w:r>
      <w:r>
        <w:rPr>
          <w:rFonts w:hint="eastAsia" w:hAnsi="宋体"/>
          <w:color w:val="auto"/>
          <w:sz w:val="24"/>
          <w:szCs w:val="24"/>
          <w:highlight w:val="none"/>
        </w:rPr>
        <w:t>放、加工、消毒、保洁等工作，若发生食品安全事故</w:t>
      </w:r>
      <w:r>
        <w:rPr>
          <w:rFonts w:hint="eastAsia" w:hAnsi="宋体"/>
          <w:color w:val="auto"/>
          <w:spacing w:val="-1"/>
          <w:sz w:val="24"/>
          <w:szCs w:val="24"/>
          <w:highlight w:val="none"/>
        </w:rPr>
        <w:t>一切责任由乙方承担。如</w:t>
      </w:r>
      <w:r>
        <w:rPr>
          <w:rFonts w:hint="eastAsia" w:hAnsi="宋体"/>
          <w:color w:val="auto"/>
          <w:sz w:val="24"/>
          <w:szCs w:val="24"/>
          <w:highlight w:val="none"/>
        </w:rPr>
        <w:t>甲方因此承担相应的责任，有权向乙方追偿，并要求赔偿因此造成甲方的其他损失。</w:t>
      </w:r>
    </w:p>
    <w:p w14:paraId="1BC1F844">
      <w:pPr>
        <w:pStyle w:val="238"/>
        <w:autoSpaceDE w:val="0"/>
        <w:spacing w:line="450" w:lineRule="exact"/>
        <w:ind w:firstLine="480"/>
        <w:rPr>
          <w:rFonts w:hint="eastAsia" w:hAnsi="宋体"/>
          <w:color w:val="auto"/>
          <w:sz w:val="24"/>
          <w:szCs w:val="24"/>
          <w:highlight w:val="none"/>
        </w:rPr>
      </w:pPr>
      <w:r>
        <w:rPr>
          <w:rFonts w:hint="eastAsia" w:hAnsi="宋体"/>
          <w:color w:val="auto"/>
          <w:sz w:val="24"/>
          <w:szCs w:val="24"/>
          <w:highlight w:val="none"/>
        </w:rPr>
        <w:t>十八、甲方每天有权对乙方购买的食材的品质进行检查，</w:t>
      </w:r>
      <w:r>
        <w:rPr>
          <w:rFonts w:hint="eastAsia" w:ascii="Times New Roman" w:hAnsi="Times New Roman"/>
          <w:color w:val="auto"/>
          <w:sz w:val="24"/>
          <w:szCs w:val="24"/>
          <w:highlight w:val="none"/>
        </w:rPr>
        <w:t xml:space="preserve"> </w:t>
      </w:r>
      <w:r>
        <w:rPr>
          <w:rFonts w:hint="eastAsia" w:hAnsi="宋体"/>
          <w:color w:val="auto"/>
          <w:sz w:val="24"/>
          <w:szCs w:val="24"/>
          <w:highlight w:val="none"/>
        </w:rPr>
        <w:t>对不符合合同要求或质量要</w:t>
      </w:r>
      <w:r>
        <w:rPr>
          <w:rFonts w:hint="eastAsia" w:hAnsi="宋体"/>
          <w:color w:val="auto"/>
          <w:spacing w:val="-1"/>
          <w:sz w:val="24"/>
          <w:szCs w:val="24"/>
          <w:highlight w:val="none"/>
        </w:rPr>
        <w:t>求的，甲方有权拒绝接受。甲方对照食品安全、环境卫生检查标准、消防要求，如发现有不达标项目，视具体情况，每次每项从服务费中扣除</w:t>
      </w:r>
      <w:r>
        <w:rPr>
          <w:rFonts w:hint="eastAsia" w:hAnsi="宋体"/>
          <w:color w:val="auto"/>
          <w:spacing w:val="-46"/>
          <w:sz w:val="24"/>
          <w:szCs w:val="24"/>
          <w:highlight w:val="none"/>
        </w:rPr>
        <w:t xml:space="preserve"> </w:t>
      </w:r>
      <w:r>
        <w:rPr>
          <w:rFonts w:hint="eastAsia" w:hAnsi="宋体"/>
          <w:color w:val="auto"/>
          <w:spacing w:val="-1"/>
          <w:sz w:val="24"/>
          <w:szCs w:val="24"/>
          <w:highlight w:val="none"/>
        </w:rPr>
        <w:t>500</w:t>
      </w:r>
      <w:r>
        <w:rPr>
          <w:rFonts w:hint="eastAsia" w:hAnsi="宋体"/>
          <w:color w:val="auto"/>
          <w:spacing w:val="-51"/>
          <w:sz w:val="24"/>
          <w:szCs w:val="24"/>
          <w:highlight w:val="none"/>
        </w:rPr>
        <w:t xml:space="preserve"> </w:t>
      </w:r>
      <w:r>
        <w:rPr>
          <w:rFonts w:hint="eastAsia" w:hAnsi="宋体"/>
          <w:color w:val="auto"/>
          <w:spacing w:val="-1"/>
          <w:sz w:val="24"/>
          <w:szCs w:val="24"/>
          <w:highlight w:val="none"/>
        </w:rPr>
        <w:t>元。因乙方工作人员未</w:t>
      </w:r>
      <w:r>
        <w:rPr>
          <w:rFonts w:hint="eastAsia" w:hAnsi="宋体"/>
          <w:color w:val="auto"/>
          <w:spacing w:val="-2"/>
          <w:sz w:val="24"/>
          <w:szCs w:val="24"/>
          <w:highlight w:val="none"/>
        </w:rPr>
        <w:t>遵守食品</w:t>
      </w:r>
      <w:r>
        <w:rPr>
          <w:rFonts w:hint="eastAsia" w:hAnsi="宋体"/>
          <w:color w:val="auto"/>
          <w:spacing w:val="-1"/>
          <w:sz w:val="24"/>
          <w:szCs w:val="24"/>
          <w:highlight w:val="none"/>
        </w:rPr>
        <w:t>安全或安全消防规定引发的行政处罚，罚款由乙方承担，并且甲方有权按次从服务费中扣</w:t>
      </w:r>
      <w:r>
        <w:rPr>
          <w:rFonts w:hint="eastAsia" w:hAnsi="宋体"/>
          <w:color w:val="auto"/>
          <w:spacing w:val="-2"/>
          <w:sz w:val="24"/>
          <w:szCs w:val="24"/>
          <w:highlight w:val="none"/>
        </w:rPr>
        <w:t>除费用</w:t>
      </w:r>
      <w:r>
        <w:rPr>
          <w:rFonts w:hint="eastAsia" w:hAnsi="宋体"/>
          <w:color w:val="auto"/>
          <w:spacing w:val="-35"/>
          <w:sz w:val="24"/>
          <w:szCs w:val="24"/>
          <w:highlight w:val="none"/>
        </w:rPr>
        <w:t xml:space="preserve"> </w:t>
      </w:r>
      <w:r>
        <w:rPr>
          <w:rFonts w:hint="eastAsia" w:hAnsi="宋体"/>
          <w:color w:val="auto"/>
          <w:spacing w:val="-2"/>
          <w:sz w:val="24"/>
          <w:szCs w:val="24"/>
          <w:highlight w:val="none"/>
        </w:rPr>
        <w:t>1000</w:t>
      </w:r>
      <w:r>
        <w:rPr>
          <w:rFonts w:hint="eastAsia" w:hAnsi="宋体"/>
          <w:color w:val="auto"/>
          <w:spacing w:val="-51"/>
          <w:sz w:val="24"/>
          <w:szCs w:val="24"/>
          <w:highlight w:val="none"/>
        </w:rPr>
        <w:t xml:space="preserve"> </w:t>
      </w:r>
      <w:r>
        <w:rPr>
          <w:rFonts w:hint="eastAsia" w:hAnsi="宋体"/>
          <w:color w:val="auto"/>
          <w:spacing w:val="-2"/>
          <w:sz w:val="24"/>
          <w:szCs w:val="24"/>
          <w:highlight w:val="none"/>
        </w:rPr>
        <w:t>元，因乙方原因累计被处罚达到三次或以上的，甲方有权提前终止合</w:t>
      </w:r>
      <w:r>
        <w:rPr>
          <w:rFonts w:hint="eastAsia" w:hAnsi="宋体"/>
          <w:color w:val="auto"/>
          <w:spacing w:val="-3"/>
          <w:sz w:val="24"/>
          <w:szCs w:val="24"/>
          <w:highlight w:val="none"/>
        </w:rPr>
        <w:t>同。</w:t>
      </w:r>
    </w:p>
    <w:p w14:paraId="7B5DF848">
      <w:pPr>
        <w:spacing w:before="43" w:line="429" w:lineRule="auto"/>
        <w:ind w:right="105"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十九、甲方将定期对乙方提供的食材价格和数量</w:t>
      </w:r>
      <w:r>
        <w:rPr>
          <w:rFonts w:hint="eastAsia" w:ascii="宋体" w:hAnsi="宋体"/>
          <w:color w:val="auto"/>
          <w:spacing w:val="-1"/>
          <w:sz w:val="24"/>
          <w:szCs w:val="24"/>
          <w:highlight w:val="none"/>
        </w:rPr>
        <w:t>进行抽检，对达不到采购标准的，进行处罚，在合同期内乙方累计达到三次或以上出现上述问题的，甲方有权提</w:t>
      </w:r>
      <w:r>
        <w:rPr>
          <w:rFonts w:hint="eastAsia" w:ascii="宋体" w:hAnsi="宋体"/>
          <w:color w:val="auto"/>
          <w:spacing w:val="-2"/>
          <w:sz w:val="24"/>
          <w:szCs w:val="24"/>
          <w:highlight w:val="none"/>
        </w:rPr>
        <w:t>前终止合同。</w:t>
      </w:r>
      <w:r>
        <w:rPr>
          <w:rFonts w:hint="eastAsia" w:ascii="宋体" w:hAnsi="宋体"/>
          <w:color w:val="auto"/>
          <w:sz w:val="24"/>
          <w:szCs w:val="24"/>
          <w:highlight w:val="none"/>
        </w:rPr>
        <w:t>经营期间，乙方必须每月10号前向甲方提供食堂上</w:t>
      </w:r>
      <w:r>
        <w:rPr>
          <w:rFonts w:hint="eastAsia" w:ascii="宋体" w:hAnsi="宋体"/>
          <w:color w:val="auto"/>
          <w:spacing w:val="-1"/>
          <w:sz w:val="24"/>
          <w:szCs w:val="24"/>
          <w:highlight w:val="none"/>
        </w:rPr>
        <w:t>个月的台账、资产负债表（附有科目</w:t>
      </w:r>
      <w:r>
        <w:rPr>
          <w:rFonts w:hint="eastAsia" w:ascii="宋体" w:hAnsi="宋体"/>
          <w:color w:val="auto"/>
          <w:sz w:val="24"/>
          <w:szCs w:val="24"/>
          <w:highlight w:val="none"/>
        </w:rPr>
        <w:t>明细表</w:t>
      </w:r>
      <w:r>
        <w:rPr>
          <w:rFonts w:hint="eastAsia" w:ascii="宋体" w:hAnsi="宋体"/>
          <w:color w:val="auto"/>
          <w:spacing w:val="-1"/>
          <w:sz w:val="24"/>
          <w:szCs w:val="24"/>
          <w:highlight w:val="none"/>
        </w:rPr>
        <w:t>），</w:t>
      </w:r>
      <w:r>
        <w:rPr>
          <w:rFonts w:hint="eastAsia" w:ascii="宋体" w:hAnsi="宋体"/>
          <w:color w:val="auto"/>
          <w:sz w:val="24"/>
          <w:szCs w:val="24"/>
          <w:highlight w:val="none"/>
        </w:rPr>
        <w:t>并加盖公司印章，逾期未交者，每次将处</w:t>
      </w:r>
      <w:r>
        <w:rPr>
          <w:rFonts w:hint="eastAsia" w:ascii="宋体" w:hAnsi="宋体"/>
          <w:color w:val="auto"/>
          <w:spacing w:val="-1"/>
          <w:sz w:val="24"/>
          <w:szCs w:val="24"/>
          <w:highlight w:val="none"/>
        </w:rPr>
        <w:t>以1500元的罚款，甲方有权从服务</w:t>
      </w:r>
      <w:r>
        <w:rPr>
          <w:rFonts w:hint="eastAsia" w:ascii="宋体" w:hAnsi="宋体"/>
          <w:color w:val="auto"/>
          <w:spacing w:val="-5"/>
          <w:sz w:val="24"/>
          <w:szCs w:val="24"/>
          <w:highlight w:val="none"/>
        </w:rPr>
        <w:t>费用中予以扣除。</w:t>
      </w:r>
    </w:p>
    <w:p w14:paraId="5F0AC91B">
      <w:pPr>
        <w:spacing w:before="3" w:line="429" w:lineRule="auto"/>
        <w:ind w:right="105" w:firstLine="476" w:firstLineChars="200"/>
        <w:rPr>
          <w:rFonts w:hint="eastAsia" w:ascii="宋体" w:hAnsi="宋体"/>
          <w:color w:val="auto"/>
          <w:sz w:val="24"/>
          <w:szCs w:val="24"/>
          <w:highlight w:val="none"/>
        </w:rPr>
      </w:pPr>
      <w:r>
        <w:rPr>
          <w:rFonts w:hint="eastAsia" w:ascii="宋体" w:hAnsi="宋体"/>
          <w:color w:val="auto"/>
          <w:spacing w:val="-1"/>
          <w:sz w:val="24"/>
          <w:szCs w:val="24"/>
          <w:highlight w:val="none"/>
        </w:rPr>
        <w:t>二十、乙方应做好安检、卫生、消防等方面的安全措施，防止投毒、火灾、摔跤等意</w:t>
      </w:r>
      <w:r>
        <w:rPr>
          <w:rFonts w:hint="eastAsia" w:ascii="宋体" w:hAnsi="宋体"/>
          <w:color w:val="auto"/>
          <w:sz w:val="24"/>
          <w:szCs w:val="24"/>
          <w:highlight w:val="none"/>
        </w:rPr>
        <w:t>外情况的发生。因乙方提供食堂外包服务过程中造成的第三人（含甲方</w:t>
      </w:r>
      <w:r>
        <w:rPr>
          <w:rFonts w:hint="eastAsia" w:ascii="宋体" w:hAnsi="宋体"/>
          <w:color w:val="auto"/>
          <w:spacing w:val="-1"/>
          <w:sz w:val="24"/>
          <w:szCs w:val="24"/>
          <w:highlight w:val="none"/>
        </w:rPr>
        <w:t>员工）人身、财产</w:t>
      </w:r>
      <w:r>
        <w:rPr>
          <w:rFonts w:hint="eastAsia" w:ascii="宋体" w:hAnsi="宋体"/>
          <w:color w:val="auto"/>
          <w:spacing w:val="-2"/>
          <w:sz w:val="24"/>
          <w:szCs w:val="24"/>
          <w:highlight w:val="none"/>
        </w:rPr>
        <w:t>损害的，乙方应当承担侵权责任，并赔偿给第三人造成的损失。</w:t>
      </w:r>
    </w:p>
    <w:p w14:paraId="3BD200D4">
      <w:pPr>
        <w:spacing w:before="3" w:line="429" w:lineRule="auto"/>
        <w:ind w:right="-95" w:firstLine="476" w:firstLineChars="200"/>
        <w:rPr>
          <w:rFonts w:hint="eastAsia" w:ascii="宋体" w:hAnsi="宋体"/>
          <w:color w:val="auto"/>
          <w:sz w:val="24"/>
          <w:szCs w:val="24"/>
          <w:highlight w:val="none"/>
        </w:rPr>
      </w:pPr>
      <w:r>
        <w:rPr>
          <w:rFonts w:hint="eastAsia" w:ascii="宋体" w:hAnsi="宋体"/>
          <w:color w:val="auto"/>
          <w:spacing w:val="-1"/>
          <w:sz w:val="24"/>
          <w:szCs w:val="24"/>
          <w:highlight w:val="none"/>
        </w:rPr>
        <w:t>二十一、甲方有权对乙方拟派驻的工作人员进行岗位适配性审核，审核的内容包括但不限于道德品质、身体健康状况（含有效的健康证）、专业业务水</w:t>
      </w:r>
      <w:r>
        <w:rPr>
          <w:rFonts w:hint="eastAsia" w:ascii="宋体" w:hAnsi="宋体"/>
          <w:color w:val="auto"/>
          <w:sz w:val="24"/>
          <w:szCs w:val="24"/>
          <w:highlight w:val="none"/>
        </w:rPr>
        <w:t>平、综合素质，如审核不合格，甲方有权提出书面建议，乙方在收到通知后合理期间内更换符合项目要求的人员。</w:t>
      </w:r>
      <w:r>
        <w:rPr>
          <w:rFonts w:hint="eastAsia" w:ascii="宋体" w:hAnsi="宋体"/>
          <w:color w:val="auto"/>
          <w:spacing w:val="-5"/>
          <w:sz w:val="24"/>
          <w:szCs w:val="24"/>
          <w:highlight w:val="none"/>
        </w:rPr>
        <w:t>。乙方应当确保派驻人员按时到岗履职，，否则，甲方有权单方解除合同，或要求乙方承担每人每天</w:t>
      </w:r>
      <w:r>
        <w:rPr>
          <w:rFonts w:hint="eastAsia" w:ascii="宋体" w:hAnsi="宋体"/>
          <w:color w:val="auto"/>
          <w:spacing w:val="-48"/>
          <w:sz w:val="24"/>
          <w:szCs w:val="24"/>
          <w:highlight w:val="none"/>
        </w:rPr>
        <w:t xml:space="preserve"> </w:t>
      </w:r>
      <w:r>
        <w:rPr>
          <w:rFonts w:hint="eastAsia" w:ascii="宋体" w:hAnsi="宋体"/>
          <w:color w:val="auto"/>
          <w:spacing w:val="-5"/>
          <w:sz w:val="24"/>
          <w:szCs w:val="24"/>
          <w:highlight w:val="none"/>
        </w:rPr>
        <w:t>500</w:t>
      </w:r>
      <w:r>
        <w:rPr>
          <w:rFonts w:hint="eastAsia" w:ascii="宋体" w:hAnsi="宋体"/>
          <w:color w:val="auto"/>
          <w:spacing w:val="-51"/>
          <w:sz w:val="24"/>
          <w:szCs w:val="24"/>
          <w:highlight w:val="none"/>
        </w:rPr>
        <w:t xml:space="preserve"> </w:t>
      </w:r>
      <w:r>
        <w:rPr>
          <w:rFonts w:hint="eastAsia" w:ascii="宋体" w:hAnsi="宋体"/>
          <w:color w:val="auto"/>
          <w:spacing w:val="-5"/>
          <w:sz w:val="24"/>
          <w:szCs w:val="24"/>
          <w:highlight w:val="none"/>
        </w:rPr>
        <w:t>元的违约金，对于该</w:t>
      </w:r>
      <w:r>
        <w:rPr>
          <w:rFonts w:hint="eastAsia" w:ascii="宋体" w:hAnsi="宋体"/>
          <w:color w:val="auto"/>
          <w:spacing w:val="-6"/>
          <w:sz w:val="24"/>
          <w:szCs w:val="24"/>
          <w:highlight w:val="none"/>
        </w:rPr>
        <w:t>违约金，</w:t>
      </w:r>
      <w:r>
        <w:rPr>
          <w:rFonts w:hint="eastAsia" w:ascii="宋体" w:hAnsi="宋体"/>
          <w:color w:val="auto"/>
          <w:spacing w:val="-3"/>
          <w:sz w:val="24"/>
          <w:szCs w:val="24"/>
          <w:highlight w:val="none"/>
        </w:rPr>
        <w:t>甲方有权从服务费中予以扣除。甲方对上述审核、更换要求仅为保障服务质量与现场秩序的项目管控行为，不构成对乙方用工主体的变更，乙方是服务人员的唯一用工主体。</w:t>
      </w:r>
      <w:r>
        <w:rPr>
          <w:rFonts w:hint="eastAsia" w:ascii="宋体" w:hAnsi="宋体"/>
          <w:color w:val="auto"/>
          <w:sz w:val="24"/>
          <w:szCs w:val="24"/>
          <w:highlight w:val="none"/>
        </w:rPr>
        <w:t xml:space="preserve"> </w:t>
      </w:r>
    </w:p>
    <w:p w14:paraId="02768DB3">
      <w:pPr>
        <w:rPr>
          <w:rFonts w:hint="eastAsia" w:ascii="宋体" w:hAnsi="宋体"/>
          <w:color w:val="auto"/>
          <w:sz w:val="24"/>
          <w:szCs w:val="24"/>
          <w:highlight w:val="none"/>
        </w:rPr>
      </w:pPr>
      <w:r>
        <w:rPr>
          <w:rFonts w:hint="eastAsia" w:ascii="宋体" w:hAnsi="宋体"/>
          <w:color w:val="auto"/>
          <w:spacing w:val="-2"/>
          <w:sz w:val="24"/>
          <w:szCs w:val="24"/>
          <w:highlight w:val="none"/>
        </w:rPr>
        <w:t>第四条</w:t>
      </w:r>
      <w:r>
        <w:rPr>
          <w:rFonts w:hint="eastAsia" w:ascii="宋体" w:hAnsi="宋体"/>
          <w:color w:val="auto"/>
          <w:spacing w:val="84"/>
          <w:sz w:val="24"/>
          <w:szCs w:val="24"/>
          <w:highlight w:val="none"/>
        </w:rPr>
        <w:t xml:space="preserve"> </w:t>
      </w:r>
      <w:r>
        <w:rPr>
          <w:rFonts w:hint="eastAsia" w:ascii="宋体" w:hAnsi="宋体"/>
          <w:color w:val="auto"/>
          <w:spacing w:val="-2"/>
          <w:sz w:val="24"/>
          <w:szCs w:val="24"/>
          <w:highlight w:val="none"/>
        </w:rPr>
        <w:t>满意度测评及检查考核</w:t>
      </w:r>
    </w:p>
    <w:p w14:paraId="1926C6D9">
      <w:pPr>
        <w:spacing w:before="277" w:line="429" w:lineRule="auto"/>
        <w:ind w:right="105" w:firstLine="476" w:firstLineChars="200"/>
        <w:rPr>
          <w:rFonts w:hint="eastAsia" w:ascii="宋体" w:hAnsi="宋体"/>
          <w:color w:val="auto"/>
          <w:sz w:val="24"/>
          <w:szCs w:val="24"/>
          <w:highlight w:val="none"/>
        </w:rPr>
      </w:pPr>
      <w:r>
        <w:rPr>
          <w:rFonts w:hint="eastAsia" w:ascii="宋体" w:hAnsi="宋体"/>
          <w:color w:val="auto"/>
          <w:spacing w:val="-1"/>
          <w:sz w:val="24"/>
          <w:szCs w:val="24"/>
          <w:highlight w:val="none"/>
        </w:rPr>
        <w:t>甲方根据甲乙双方制定的“食堂餐饮服务月度考核表”进行考</w:t>
      </w:r>
      <w:r>
        <w:rPr>
          <w:rFonts w:hint="eastAsia" w:ascii="宋体" w:hAnsi="宋体"/>
          <w:color w:val="auto"/>
          <w:spacing w:val="-2"/>
          <w:sz w:val="24"/>
          <w:szCs w:val="24"/>
          <w:highlight w:val="none"/>
        </w:rPr>
        <w:t>核，如食堂服务过程中</w:t>
      </w:r>
      <w:r>
        <w:rPr>
          <w:rFonts w:hint="eastAsia" w:ascii="宋体" w:hAnsi="宋体"/>
          <w:color w:val="auto"/>
          <w:sz w:val="24"/>
          <w:szCs w:val="24"/>
          <w:highlight w:val="none"/>
        </w:rPr>
        <w:t>出现违反实施细则的，甲方有权按照约定在</w:t>
      </w:r>
      <w:r>
        <w:rPr>
          <w:rFonts w:hint="eastAsia" w:ascii="宋体" w:hAnsi="宋体"/>
          <w:color w:val="auto"/>
          <w:spacing w:val="-1"/>
          <w:sz w:val="24"/>
          <w:szCs w:val="24"/>
          <w:highlight w:val="none"/>
        </w:rPr>
        <w:t>服务费中扣除罚款对应金额，即服务费结算金</w:t>
      </w:r>
      <w:r>
        <w:rPr>
          <w:rFonts w:hint="eastAsia" w:ascii="宋体" w:hAnsi="宋体"/>
          <w:color w:val="auto"/>
          <w:spacing w:val="-2"/>
          <w:sz w:val="24"/>
          <w:szCs w:val="24"/>
          <w:highlight w:val="none"/>
        </w:rPr>
        <w:t>额=每月应付餐饮服务费金额-考核扣款及相关罚款金额。</w:t>
      </w:r>
    </w:p>
    <w:p w14:paraId="7FA73CDC">
      <w:pPr>
        <w:spacing w:before="5" w:line="429" w:lineRule="auto"/>
        <w:ind w:right="105" w:firstLine="476" w:firstLineChars="200"/>
        <w:rPr>
          <w:color w:val="auto"/>
          <w:highlight w:val="none"/>
        </w:rPr>
      </w:pPr>
      <w:r>
        <w:rPr>
          <w:rFonts w:hint="eastAsia" w:ascii="宋体" w:hAnsi="宋体"/>
          <w:color w:val="auto"/>
          <w:spacing w:val="-1"/>
          <w:sz w:val="24"/>
          <w:szCs w:val="24"/>
          <w:highlight w:val="none"/>
        </w:rPr>
        <w:t>一、甲方将按要求对食堂制度执行情况进行检查和考核，如不定期对卫生、安全等进行抽查，在甲方条件允许且乙方负有责任的情况下发</w:t>
      </w:r>
      <w:r>
        <w:rPr>
          <w:rFonts w:hint="eastAsia" w:ascii="宋体" w:hAnsi="宋体"/>
          <w:color w:val="auto"/>
          <w:spacing w:val="-2"/>
          <w:sz w:val="24"/>
          <w:szCs w:val="24"/>
          <w:highlight w:val="none"/>
        </w:rPr>
        <w:t>现一个问题扣除服务费</w:t>
      </w:r>
      <w:r>
        <w:rPr>
          <w:rFonts w:hint="eastAsia" w:ascii="宋体" w:hAnsi="宋体"/>
          <w:color w:val="auto"/>
          <w:spacing w:val="-32"/>
          <w:sz w:val="24"/>
          <w:szCs w:val="24"/>
          <w:highlight w:val="none"/>
        </w:rPr>
        <w:t xml:space="preserve"> </w:t>
      </w:r>
      <w:r>
        <w:rPr>
          <w:rFonts w:hint="eastAsia" w:ascii="宋体" w:hAnsi="宋体"/>
          <w:color w:val="auto"/>
          <w:spacing w:val="-2"/>
          <w:sz w:val="24"/>
          <w:szCs w:val="24"/>
          <w:highlight w:val="none"/>
        </w:rPr>
        <w:t>100</w:t>
      </w:r>
      <w:r>
        <w:rPr>
          <w:rFonts w:hint="eastAsia" w:ascii="宋体" w:hAnsi="宋体"/>
          <w:color w:val="auto"/>
          <w:spacing w:val="-51"/>
          <w:sz w:val="24"/>
          <w:szCs w:val="24"/>
          <w:highlight w:val="none"/>
        </w:rPr>
        <w:t xml:space="preserve"> </w:t>
      </w:r>
      <w:r>
        <w:rPr>
          <w:rFonts w:hint="eastAsia" w:ascii="宋体" w:hAnsi="宋体"/>
          <w:color w:val="auto"/>
          <w:spacing w:val="-2"/>
          <w:sz w:val="24"/>
          <w:szCs w:val="24"/>
          <w:highlight w:val="none"/>
        </w:rPr>
        <w:t>元；乙方</w:t>
      </w:r>
      <w:r>
        <w:rPr>
          <w:rFonts w:hint="eastAsia" w:ascii="宋体" w:hAnsi="宋体"/>
          <w:color w:val="auto"/>
          <w:sz w:val="24"/>
          <w:szCs w:val="24"/>
          <w:highlight w:val="none"/>
        </w:rPr>
        <w:t>将按甲方规定的时间提供饭菜，除停水、电、气等客观原</w:t>
      </w:r>
      <w:r>
        <w:rPr>
          <w:rFonts w:hint="eastAsia" w:ascii="宋体" w:hAnsi="宋体"/>
          <w:color w:val="auto"/>
          <w:spacing w:val="-1"/>
          <w:sz w:val="24"/>
          <w:szCs w:val="24"/>
          <w:highlight w:val="none"/>
        </w:rPr>
        <w:t>因外，由乙方原因导致不能及时开饭，每发生</w:t>
      </w:r>
      <w:r>
        <w:rPr>
          <w:rFonts w:hint="eastAsia" w:ascii="宋体" w:hAnsi="宋体"/>
          <w:color w:val="auto"/>
          <w:spacing w:val="-33"/>
          <w:sz w:val="24"/>
          <w:szCs w:val="24"/>
          <w:highlight w:val="none"/>
        </w:rPr>
        <w:t xml:space="preserve"> </w:t>
      </w:r>
      <w:r>
        <w:rPr>
          <w:rFonts w:hint="eastAsia" w:ascii="宋体" w:hAnsi="宋体"/>
          <w:color w:val="auto"/>
          <w:spacing w:val="-1"/>
          <w:sz w:val="24"/>
          <w:szCs w:val="24"/>
          <w:highlight w:val="none"/>
        </w:rPr>
        <w:t>1</w:t>
      </w:r>
      <w:r>
        <w:rPr>
          <w:rFonts w:hint="eastAsia" w:ascii="宋体" w:hAnsi="宋体"/>
          <w:color w:val="auto"/>
          <w:spacing w:val="-46"/>
          <w:sz w:val="24"/>
          <w:szCs w:val="24"/>
          <w:highlight w:val="none"/>
        </w:rPr>
        <w:t xml:space="preserve"> </w:t>
      </w:r>
      <w:r>
        <w:rPr>
          <w:rFonts w:hint="eastAsia" w:ascii="宋体" w:hAnsi="宋体"/>
          <w:color w:val="auto"/>
          <w:spacing w:val="-1"/>
          <w:sz w:val="24"/>
          <w:szCs w:val="24"/>
          <w:highlight w:val="none"/>
        </w:rPr>
        <w:t>次不及时开饭（晚</w:t>
      </w:r>
      <w:r>
        <w:rPr>
          <w:rFonts w:hint="eastAsia" w:ascii="宋体" w:hAnsi="宋体"/>
          <w:color w:val="auto"/>
          <w:spacing w:val="-35"/>
          <w:sz w:val="24"/>
          <w:szCs w:val="24"/>
          <w:highlight w:val="none"/>
        </w:rPr>
        <w:t xml:space="preserve"> </w:t>
      </w:r>
      <w:r>
        <w:rPr>
          <w:rFonts w:hint="eastAsia" w:ascii="宋体" w:hAnsi="宋体"/>
          <w:color w:val="auto"/>
          <w:spacing w:val="-1"/>
          <w:sz w:val="24"/>
          <w:szCs w:val="24"/>
          <w:highlight w:val="none"/>
        </w:rPr>
        <w:t>10</w:t>
      </w:r>
      <w:r>
        <w:rPr>
          <w:rFonts w:hint="eastAsia" w:ascii="宋体" w:hAnsi="宋体"/>
          <w:color w:val="auto"/>
          <w:spacing w:val="-50"/>
          <w:sz w:val="24"/>
          <w:szCs w:val="24"/>
          <w:highlight w:val="none"/>
        </w:rPr>
        <w:t xml:space="preserve"> </w:t>
      </w:r>
      <w:r>
        <w:rPr>
          <w:rFonts w:hint="eastAsia" w:ascii="宋体" w:hAnsi="宋体"/>
          <w:color w:val="auto"/>
          <w:spacing w:val="-1"/>
          <w:sz w:val="24"/>
          <w:szCs w:val="24"/>
          <w:highlight w:val="none"/>
        </w:rPr>
        <w:t>分钟以上</w:t>
      </w:r>
      <w:r>
        <w:rPr>
          <w:rFonts w:hint="eastAsia" w:ascii="宋体" w:hAnsi="宋体"/>
          <w:color w:val="auto"/>
          <w:sz w:val="24"/>
          <w:szCs w:val="24"/>
          <w:highlight w:val="none"/>
        </w:rPr>
        <w:t>），</w:t>
      </w:r>
      <w:r>
        <w:rPr>
          <w:rFonts w:hint="eastAsia" w:ascii="宋体" w:hAnsi="宋体"/>
          <w:color w:val="auto"/>
          <w:spacing w:val="-1"/>
          <w:sz w:val="24"/>
          <w:szCs w:val="24"/>
          <w:highlight w:val="none"/>
        </w:rPr>
        <w:t>扣服务</w:t>
      </w:r>
      <w:r>
        <w:rPr>
          <w:rFonts w:hint="eastAsia" w:ascii="宋体" w:hAnsi="宋体"/>
          <w:color w:val="auto"/>
          <w:spacing w:val="-2"/>
          <w:sz w:val="24"/>
          <w:szCs w:val="24"/>
          <w:highlight w:val="none"/>
        </w:rPr>
        <w:t>费200</w:t>
      </w:r>
      <w:r>
        <w:rPr>
          <w:rFonts w:hint="eastAsia" w:ascii="宋体" w:hAnsi="宋体"/>
          <w:color w:val="auto"/>
          <w:spacing w:val="-51"/>
          <w:sz w:val="24"/>
          <w:szCs w:val="24"/>
          <w:highlight w:val="none"/>
        </w:rPr>
        <w:t xml:space="preserve"> </w:t>
      </w:r>
      <w:r>
        <w:rPr>
          <w:rFonts w:hint="eastAsia" w:ascii="宋体" w:hAnsi="宋体"/>
          <w:color w:val="auto"/>
          <w:spacing w:val="-2"/>
          <w:sz w:val="24"/>
          <w:szCs w:val="24"/>
          <w:highlight w:val="none"/>
        </w:rPr>
        <w:t>元。</w:t>
      </w:r>
    </w:p>
    <w:p w14:paraId="4DD6C672">
      <w:pPr>
        <w:autoSpaceDE w:val="0"/>
        <w:spacing w:before="5" w:line="432" w:lineRule="auto"/>
        <w:ind w:right="105" w:firstLine="476" w:firstLineChars="200"/>
        <w:rPr>
          <w:rFonts w:hint="eastAsia" w:ascii="宋体" w:hAnsi="宋体"/>
          <w:color w:val="auto"/>
          <w:spacing w:val="-1"/>
          <w:sz w:val="24"/>
          <w:szCs w:val="24"/>
          <w:highlight w:val="none"/>
        </w:rPr>
      </w:pPr>
      <w:r>
        <w:rPr>
          <w:rFonts w:hint="eastAsia" w:ascii="宋体" w:hAnsi="宋体"/>
          <w:color w:val="auto"/>
          <w:spacing w:val="-1"/>
          <w:sz w:val="24"/>
          <w:szCs w:val="24"/>
          <w:highlight w:val="none"/>
        </w:rPr>
        <w:t>二、每月进行综合考核或满意度测评（含就餐者测评和督导岗等专业人员检查结论），考核结果或满意度测评结果、乙方履行业务及工作量情况， 与餐费结算挂钩，考核分在95分及以上或综合满意度在 95%及以上，全额支付；考核成绩低于90分或综合满意度低于90%的，第一次扣除当月餐饮服务费 1000元，后续每多出现一次，扣除当月餐饮服务费费用增加1000元。考核得分低于85分或综合满意度低于85%的，采购人将采取约见谈话、批评等措施，如在食堂外包服务上有重大失误或连续二个月考核得分低于85分（或满意度测评低于85%），</w:t>
      </w:r>
      <w:r>
        <w:rPr>
          <w:rFonts w:hint="eastAsia" w:ascii="宋体" w:hAnsi="宋体"/>
          <w:color w:val="auto"/>
          <w:spacing w:val="-1"/>
          <w:sz w:val="24"/>
          <w:szCs w:val="24"/>
          <w:highlight w:val="none"/>
        </w:rPr>
        <w:t>经书面警告未改善</w:t>
      </w:r>
      <w:r>
        <w:rPr>
          <w:rFonts w:hint="eastAsia" w:ascii="宋体" w:hAnsi="宋体"/>
          <w:color w:val="auto"/>
          <w:spacing w:val="-1"/>
          <w:sz w:val="24"/>
          <w:szCs w:val="24"/>
          <w:highlight w:val="none"/>
        </w:rPr>
        <w:t>，甲方有权提前终止或解除合同，由此给甲方造成的直接、间接损失，由乙方承担赔偿责任。</w:t>
      </w:r>
    </w:p>
    <w:p w14:paraId="4387ED70">
      <w:pPr>
        <w:autoSpaceDE w:val="0"/>
        <w:spacing w:line="432" w:lineRule="auto"/>
        <w:rPr>
          <w:rFonts w:hint="eastAsia" w:ascii="宋体" w:hAnsi="宋体"/>
          <w:b/>
          <w:bCs/>
          <w:color w:val="auto"/>
          <w:spacing w:val="-2"/>
          <w:sz w:val="24"/>
          <w:szCs w:val="24"/>
          <w:highlight w:val="none"/>
        </w:rPr>
      </w:pPr>
      <w:r>
        <w:rPr>
          <w:rFonts w:hint="eastAsia" w:ascii="宋体" w:hAnsi="宋体"/>
          <w:b/>
          <w:bCs/>
          <w:color w:val="auto"/>
          <w:spacing w:val="-2"/>
          <w:sz w:val="24"/>
          <w:szCs w:val="24"/>
          <w:highlight w:val="none"/>
        </w:rPr>
        <w:t>第五条  管理服务期限</w:t>
      </w:r>
    </w:p>
    <w:p w14:paraId="50ACBC5A">
      <w:pPr>
        <w:autoSpaceDE w:val="0"/>
        <w:spacing w:before="5" w:line="432" w:lineRule="auto"/>
        <w:ind w:right="105" w:firstLine="476" w:firstLineChars="200"/>
        <w:rPr>
          <w:rFonts w:hint="eastAsia" w:ascii="宋体" w:hAnsi="宋体"/>
          <w:color w:val="auto"/>
          <w:spacing w:val="-1"/>
          <w:sz w:val="24"/>
          <w:szCs w:val="24"/>
          <w:highlight w:val="none"/>
        </w:rPr>
      </w:pPr>
      <w:r>
        <w:rPr>
          <w:rFonts w:hint="eastAsia" w:ascii="宋体" w:hAnsi="宋体"/>
          <w:color w:val="auto"/>
          <w:spacing w:val="-1"/>
          <w:sz w:val="24"/>
          <w:szCs w:val="24"/>
          <w:highlight w:val="none"/>
        </w:rPr>
        <w:t>管理服务的期限自   年    月     日起至   年  月 日止，服务期为 1 年，期限届满前，甲方将根据乙方实际工作情况决定是否与乙方续签，续签合同的服务期不超过一年，乙方对甲方作出的决定不持异议并无条件接受。</w:t>
      </w:r>
    </w:p>
    <w:p w14:paraId="0DC29A4C">
      <w:pPr>
        <w:spacing w:before="5" w:line="429" w:lineRule="auto"/>
        <w:ind w:right="105" w:firstLine="476" w:firstLineChars="200"/>
        <w:rPr>
          <w:rFonts w:hint="eastAsia" w:ascii="宋体" w:hAnsi="宋体"/>
          <w:color w:val="auto"/>
          <w:spacing w:val="-1"/>
          <w:sz w:val="24"/>
          <w:szCs w:val="24"/>
          <w:highlight w:val="none"/>
        </w:rPr>
      </w:pPr>
      <w:r>
        <w:rPr>
          <w:rFonts w:hint="eastAsia" w:ascii="宋体" w:hAnsi="宋体"/>
          <w:color w:val="auto"/>
          <w:spacing w:val="-1"/>
          <w:sz w:val="24"/>
          <w:szCs w:val="24"/>
          <w:highlight w:val="none"/>
        </w:rPr>
        <w:t>注:本次采购服务周期为二年，合同一年一签，服务周期内，乙方须与甲方签订第一年度合同，合同履行过程中，甲方将根据自身的相关制度对中标人的服务开展年度审核，根据年度审核的结果，甲方将在年度合同到期前通知乙方是否由其继续提供下一年度的服务，乙方对于甲方的决定无条件接受，如由乙方继续提供服务，采购人将与中标人按照中标单价以及约定提供的服务内容继续签订下一年度合同。</w:t>
      </w:r>
    </w:p>
    <w:p w14:paraId="7DA601AA">
      <w:pPr>
        <w:numPr>
          <w:ilvl w:val="0"/>
          <w:numId w:val="3"/>
        </w:numPr>
        <w:autoSpaceDE w:val="0"/>
        <w:spacing w:line="360" w:lineRule="auto"/>
        <w:rPr>
          <w:rFonts w:hint="eastAsia" w:ascii="宋体" w:hAnsi="宋体"/>
          <w:b/>
          <w:bCs/>
          <w:color w:val="auto"/>
          <w:spacing w:val="-2"/>
          <w:sz w:val="24"/>
          <w:szCs w:val="24"/>
          <w:highlight w:val="none"/>
        </w:rPr>
      </w:pPr>
      <w:r>
        <w:rPr>
          <w:rFonts w:hint="eastAsia" w:ascii="宋体" w:hAnsi="宋体"/>
          <w:color w:val="auto"/>
          <w:spacing w:val="-2"/>
          <w:sz w:val="24"/>
          <w:szCs w:val="24"/>
          <w:highlight w:val="none"/>
        </w:rPr>
        <w:t xml:space="preserve"> </w:t>
      </w:r>
      <w:r>
        <w:rPr>
          <w:rFonts w:hint="eastAsia" w:ascii="宋体" w:hAnsi="宋体"/>
          <w:b/>
          <w:bCs/>
          <w:color w:val="auto"/>
          <w:spacing w:val="-2"/>
          <w:sz w:val="24"/>
          <w:szCs w:val="24"/>
          <w:highlight w:val="none"/>
        </w:rPr>
        <w:t>管理服务费用及支付方式</w:t>
      </w:r>
    </w:p>
    <w:p w14:paraId="649ACF77">
      <w:pPr>
        <w:autoSpaceDE w:val="0"/>
        <w:spacing w:line="360" w:lineRule="auto"/>
        <w:rPr>
          <w:rFonts w:hint="eastAsia" w:ascii="宋体" w:hAnsi="宋体"/>
          <w:b/>
          <w:bCs/>
          <w:color w:val="auto"/>
          <w:spacing w:val="-2"/>
          <w:sz w:val="24"/>
          <w:szCs w:val="24"/>
          <w:highlight w:val="none"/>
          <w:u w:val="single"/>
        </w:rPr>
      </w:pPr>
      <w:r>
        <w:rPr>
          <w:rFonts w:hint="eastAsia" w:ascii="宋体" w:hAnsi="宋体"/>
          <w:b/>
          <w:bCs/>
          <w:color w:val="auto"/>
          <w:spacing w:val="-2"/>
          <w:sz w:val="24"/>
          <w:szCs w:val="24"/>
          <w:highlight w:val="none"/>
        </w:rPr>
        <w:t xml:space="preserve">  本年度合同金额为：</w:t>
      </w:r>
      <w:r>
        <w:rPr>
          <w:rFonts w:hint="eastAsia" w:ascii="宋体" w:hAnsi="宋体"/>
          <w:b/>
          <w:bCs/>
          <w:color w:val="auto"/>
          <w:spacing w:val="-2"/>
          <w:sz w:val="24"/>
          <w:szCs w:val="24"/>
          <w:highlight w:val="none"/>
          <w:u w:val="single"/>
        </w:rPr>
        <w:t xml:space="preserve">             元（￥       元）</w:t>
      </w:r>
    </w:p>
    <w:p w14:paraId="2215FA0C">
      <w:pPr>
        <w:autoSpaceDE w:val="0"/>
        <w:spacing w:line="360" w:lineRule="auto"/>
        <w:ind w:firstLine="238" w:firstLineChars="100"/>
        <w:rPr>
          <w:rFonts w:hint="eastAsia" w:ascii="宋体" w:hAnsi="宋体"/>
          <w:color w:val="auto"/>
          <w:spacing w:val="-1"/>
          <w:sz w:val="24"/>
          <w:szCs w:val="24"/>
          <w:highlight w:val="none"/>
        </w:rPr>
      </w:pPr>
      <w:r>
        <w:rPr>
          <w:rFonts w:hint="eastAsia" w:ascii="宋体" w:hAnsi="宋体"/>
          <w:color w:val="auto"/>
          <w:spacing w:val="-1"/>
          <w:sz w:val="24"/>
          <w:szCs w:val="24"/>
          <w:highlight w:val="none"/>
        </w:rPr>
        <w:t>注：两年服务期总合同金额为：</w:t>
      </w:r>
      <w:r>
        <w:rPr>
          <w:rFonts w:hint="eastAsia" w:ascii="宋体" w:hAnsi="宋体"/>
          <w:b/>
          <w:bCs/>
          <w:color w:val="auto"/>
          <w:spacing w:val="-2"/>
          <w:sz w:val="24"/>
          <w:szCs w:val="24"/>
          <w:highlight w:val="none"/>
          <w:u w:val="single"/>
        </w:rPr>
        <w:t xml:space="preserve">             元（￥       元）</w:t>
      </w:r>
    </w:p>
    <w:p w14:paraId="402674D4">
      <w:pPr>
        <w:autoSpaceDE w:val="0"/>
        <w:spacing w:before="5" w:line="360" w:lineRule="auto"/>
        <w:ind w:right="105" w:firstLine="238" w:firstLineChars="100"/>
        <w:rPr>
          <w:rFonts w:hint="eastAsia" w:ascii="宋体" w:hAnsi="宋体"/>
          <w:color w:val="auto"/>
          <w:spacing w:val="-1"/>
          <w:sz w:val="24"/>
          <w:szCs w:val="24"/>
          <w:highlight w:val="none"/>
        </w:rPr>
      </w:pPr>
      <w:r>
        <w:rPr>
          <w:rFonts w:hint="eastAsia" w:ascii="宋体" w:hAnsi="宋体"/>
          <w:color w:val="auto"/>
          <w:spacing w:val="-1"/>
          <w:sz w:val="24"/>
          <w:szCs w:val="24"/>
          <w:highlight w:val="none"/>
        </w:rPr>
        <w:t>总合同金额为含税价，包含但不限于</w:t>
      </w:r>
      <w:r>
        <w:rPr>
          <w:rFonts w:hint="eastAsia" w:ascii="宋体" w:hAnsi="宋体"/>
          <w:color w:val="auto"/>
          <w:spacing w:val="3"/>
          <w:sz w:val="24"/>
          <w:szCs w:val="24"/>
          <w:highlight w:val="none"/>
        </w:rPr>
        <w:t>餐费（食材、调料、食材</w:t>
      </w:r>
      <w:r>
        <w:rPr>
          <w:rFonts w:hint="eastAsia" w:ascii="宋体" w:hAnsi="宋体"/>
          <w:color w:val="auto"/>
          <w:spacing w:val="2"/>
          <w:sz w:val="24"/>
          <w:szCs w:val="24"/>
          <w:highlight w:val="none"/>
        </w:rPr>
        <w:t>加工服务等）、</w:t>
      </w:r>
      <w:r>
        <w:rPr>
          <w:rFonts w:hint="eastAsia" w:ascii="宋体" w:hAnsi="宋体"/>
          <w:color w:val="auto"/>
          <w:sz w:val="24"/>
          <w:szCs w:val="24"/>
          <w:highlight w:val="none"/>
        </w:rPr>
        <w:t>管理人员和服务人员的工资（含社保、加班费、体检费及福利等）、管理费及合理利润、招标文件所涉及货物和服</w:t>
      </w:r>
      <w:r>
        <w:rPr>
          <w:rFonts w:hint="eastAsia" w:ascii="宋体" w:hAnsi="宋体"/>
          <w:color w:val="auto"/>
          <w:spacing w:val="-1"/>
          <w:sz w:val="24"/>
          <w:szCs w:val="24"/>
          <w:highlight w:val="none"/>
        </w:rPr>
        <w:t>务的一切费用</w:t>
      </w:r>
      <w:r>
        <w:rPr>
          <w:rFonts w:hint="eastAsia" w:ascii="宋体" w:hAnsi="宋体"/>
          <w:color w:val="auto"/>
          <w:sz w:val="24"/>
          <w:szCs w:val="24"/>
          <w:highlight w:val="none"/>
        </w:rPr>
        <w:t>。</w:t>
      </w:r>
      <w:r>
        <w:rPr>
          <w:rFonts w:hint="eastAsia" w:ascii="宋体" w:hAnsi="宋体"/>
          <w:color w:val="auto"/>
          <w:spacing w:val="-1"/>
          <w:sz w:val="24"/>
          <w:szCs w:val="24"/>
          <w:highlight w:val="none"/>
        </w:rPr>
        <w:t>（食堂运行所涉及的能耗、虫害消杀、设施设备维修改造、厨具餐具设备更新、环境改造费用</w:t>
      </w:r>
      <w:r>
        <w:rPr>
          <w:rFonts w:hint="eastAsia" w:ascii="宋体" w:hAnsi="宋体"/>
          <w:color w:val="auto"/>
          <w:spacing w:val="-2"/>
          <w:sz w:val="24"/>
          <w:szCs w:val="24"/>
          <w:highlight w:val="none"/>
        </w:rPr>
        <w:t>不包含在内）。</w:t>
      </w:r>
      <w:r>
        <w:rPr>
          <w:rFonts w:hint="eastAsia" w:ascii="宋体" w:hAnsi="宋体"/>
          <w:color w:val="auto"/>
          <w:spacing w:val="-1"/>
          <w:sz w:val="24"/>
          <w:szCs w:val="24"/>
          <w:highlight w:val="none"/>
        </w:rPr>
        <w:t>每年服务期合同金额一经确定，服务期内不予调整。乙方自行承担服务期内因各种物价风险、政策风险及其他潜在风险引起的一切其他费用，采购人在项目履行过程中，不再支付任何费用。</w:t>
      </w:r>
    </w:p>
    <w:p w14:paraId="1E5CB405">
      <w:pPr>
        <w:spacing w:before="5" w:line="429" w:lineRule="auto"/>
        <w:ind w:right="105" w:firstLine="476" w:firstLineChars="200"/>
        <w:rPr>
          <w:rFonts w:hint="eastAsia" w:ascii="宋体" w:hAnsi="宋体"/>
          <w:color w:val="auto"/>
          <w:spacing w:val="-1"/>
          <w:sz w:val="24"/>
          <w:szCs w:val="24"/>
          <w:highlight w:val="none"/>
        </w:rPr>
      </w:pPr>
      <w:r>
        <w:rPr>
          <w:rFonts w:hint="eastAsia" w:ascii="宋体" w:hAnsi="宋体"/>
          <w:color w:val="auto"/>
          <w:spacing w:val="-1"/>
          <w:sz w:val="24"/>
          <w:szCs w:val="24"/>
          <w:highlight w:val="none"/>
        </w:rPr>
        <w:t>支付方式：根据月度考核及用餐人数按月据实结算。</w:t>
      </w:r>
    </w:p>
    <w:p w14:paraId="6572F6D6">
      <w:pPr>
        <w:spacing w:before="5" w:line="429" w:lineRule="auto"/>
        <w:ind w:right="105" w:firstLine="476" w:firstLineChars="200"/>
        <w:rPr>
          <w:rFonts w:hint="eastAsia" w:ascii="宋体" w:hAnsi="宋体"/>
          <w:color w:val="auto"/>
          <w:spacing w:val="-1"/>
          <w:sz w:val="24"/>
          <w:szCs w:val="24"/>
          <w:highlight w:val="none"/>
        </w:rPr>
      </w:pPr>
      <w:r>
        <w:rPr>
          <w:rFonts w:hint="eastAsia" w:ascii="宋体" w:hAnsi="宋体"/>
          <w:color w:val="auto"/>
          <w:spacing w:val="-1"/>
          <w:sz w:val="24"/>
          <w:szCs w:val="24"/>
          <w:highlight w:val="none"/>
        </w:rPr>
        <w:t>注：上述款项支付时，乙方必须先向甲方提供符合税法的等额正规发票，否则迟延付款的责任由乙方自行承担。采购人对满足合同约定支付条件的项目自收到发票后10个工作日内将资金支付到约定的供应商账户（以发票开具日期计算）。</w:t>
      </w:r>
    </w:p>
    <w:p w14:paraId="0674537A">
      <w:pPr>
        <w:spacing w:before="5" w:line="429" w:lineRule="auto"/>
        <w:ind w:right="105" w:firstLine="476" w:firstLineChars="200"/>
        <w:rPr>
          <w:rFonts w:hint="eastAsia" w:ascii="宋体" w:hAnsi="宋体"/>
          <w:color w:val="auto"/>
          <w:spacing w:val="-1"/>
          <w:sz w:val="24"/>
          <w:szCs w:val="24"/>
          <w:highlight w:val="none"/>
        </w:rPr>
      </w:pPr>
      <w:r>
        <w:rPr>
          <w:rFonts w:hint="eastAsia" w:ascii="宋体" w:hAnsi="宋体"/>
          <w:color w:val="auto"/>
          <w:spacing w:val="-1"/>
          <w:sz w:val="24"/>
          <w:szCs w:val="24"/>
          <w:highlight w:val="none"/>
        </w:rPr>
        <w:t>2.应结算费用构成=每月应付餐饮服务费-扣款及相关罚款。</w:t>
      </w:r>
    </w:p>
    <w:p w14:paraId="37B319BB">
      <w:pPr>
        <w:spacing w:before="276"/>
        <w:rPr>
          <w:rFonts w:hint="eastAsia" w:ascii="宋体" w:hAnsi="宋体"/>
          <w:color w:val="auto"/>
          <w:sz w:val="24"/>
          <w:szCs w:val="24"/>
          <w:highlight w:val="none"/>
        </w:rPr>
      </w:pPr>
      <w:r>
        <w:rPr>
          <w:rFonts w:hint="eastAsia" w:ascii="宋体" w:hAnsi="宋体"/>
          <w:b/>
          <w:bCs/>
          <w:color w:val="auto"/>
          <w:spacing w:val="-3"/>
          <w:sz w:val="24"/>
          <w:szCs w:val="24"/>
          <w:highlight w:val="none"/>
        </w:rPr>
        <w:t>第七条</w:t>
      </w:r>
      <w:r>
        <w:rPr>
          <w:rFonts w:hint="eastAsia" w:ascii="宋体" w:hAnsi="宋体"/>
          <w:color w:val="auto"/>
          <w:spacing w:val="-3"/>
          <w:sz w:val="24"/>
          <w:szCs w:val="24"/>
          <w:highlight w:val="none"/>
        </w:rPr>
        <w:t xml:space="preserve">  </w:t>
      </w:r>
      <w:r>
        <w:rPr>
          <w:rFonts w:hint="eastAsia" w:ascii="宋体" w:hAnsi="宋体"/>
          <w:b/>
          <w:bCs/>
          <w:color w:val="auto"/>
          <w:spacing w:val="-3"/>
          <w:sz w:val="24"/>
          <w:szCs w:val="24"/>
          <w:highlight w:val="none"/>
        </w:rPr>
        <w:t>双方的权利义务</w:t>
      </w:r>
    </w:p>
    <w:p w14:paraId="6CEEED6D">
      <w:pPr>
        <w:spacing w:before="276"/>
        <w:rPr>
          <w:rFonts w:hint="eastAsia" w:ascii="宋体" w:hAnsi="宋体"/>
          <w:color w:val="auto"/>
          <w:sz w:val="24"/>
          <w:szCs w:val="24"/>
          <w:highlight w:val="none"/>
        </w:rPr>
      </w:pPr>
      <w:r>
        <w:rPr>
          <w:rFonts w:hint="eastAsia" w:ascii="宋体" w:hAnsi="宋体"/>
          <w:color w:val="auto"/>
          <w:spacing w:val="-6"/>
          <w:sz w:val="24"/>
          <w:szCs w:val="24"/>
          <w:highlight w:val="none"/>
        </w:rPr>
        <w:t>（一）甲方的权利义务：</w:t>
      </w:r>
    </w:p>
    <w:p w14:paraId="25176E47">
      <w:pPr>
        <w:spacing w:before="270"/>
        <w:rPr>
          <w:rFonts w:hint="eastAsia" w:ascii="宋体" w:hAnsi="宋体"/>
          <w:color w:val="auto"/>
          <w:sz w:val="24"/>
          <w:szCs w:val="24"/>
          <w:highlight w:val="none"/>
        </w:rPr>
      </w:pPr>
      <w:r>
        <w:rPr>
          <w:rFonts w:hint="eastAsia" w:ascii="宋体" w:hAnsi="宋体"/>
          <w:color w:val="auto"/>
          <w:spacing w:val="-2"/>
          <w:sz w:val="24"/>
          <w:szCs w:val="24"/>
          <w:highlight w:val="none"/>
        </w:rPr>
        <w:t>1.有权审定乙方编制的管理服务方案、人员编制</w:t>
      </w:r>
      <w:r>
        <w:rPr>
          <w:rFonts w:hint="eastAsia" w:ascii="宋体" w:hAnsi="宋体"/>
          <w:color w:val="auto"/>
          <w:spacing w:val="-3"/>
          <w:sz w:val="24"/>
          <w:szCs w:val="24"/>
          <w:highlight w:val="none"/>
        </w:rPr>
        <w:t>、费用预算。</w:t>
      </w:r>
    </w:p>
    <w:p w14:paraId="0EEE610E">
      <w:pPr>
        <w:spacing w:before="277" w:line="429" w:lineRule="auto"/>
        <w:ind w:right="105"/>
        <w:rPr>
          <w:rFonts w:hint="eastAsia" w:ascii="宋体" w:hAnsi="宋体"/>
          <w:color w:val="auto"/>
          <w:sz w:val="24"/>
          <w:szCs w:val="24"/>
          <w:highlight w:val="none"/>
        </w:rPr>
      </w:pPr>
      <w:r>
        <w:rPr>
          <w:rFonts w:hint="eastAsia" w:ascii="宋体" w:hAnsi="宋体"/>
          <w:color w:val="auto"/>
          <w:spacing w:val="6"/>
          <w:sz w:val="24"/>
          <w:szCs w:val="24"/>
          <w:highlight w:val="none"/>
        </w:rPr>
        <w:t>2.有权对乙方管理服务的质量进行监督，对不符合质</w:t>
      </w:r>
      <w:r>
        <w:rPr>
          <w:rFonts w:hint="eastAsia" w:ascii="宋体" w:hAnsi="宋体"/>
          <w:color w:val="auto"/>
          <w:spacing w:val="5"/>
          <w:sz w:val="24"/>
          <w:szCs w:val="24"/>
          <w:highlight w:val="none"/>
        </w:rPr>
        <w:t>量标准的管理服务有权建议整</w:t>
      </w:r>
      <w:r>
        <w:rPr>
          <w:rFonts w:hint="eastAsia" w:ascii="宋体" w:hAnsi="宋体"/>
          <w:color w:val="auto"/>
          <w:spacing w:val="-3"/>
          <w:sz w:val="24"/>
          <w:szCs w:val="24"/>
          <w:highlight w:val="none"/>
        </w:rPr>
        <w:t>改，对不称职工作人员可以要求乙方更换。</w:t>
      </w:r>
    </w:p>
    <w:p w14:paraId="6A0DFF98">
      <w:pPr>
        <w:spacing w:before="2"/>
        <w:rPr>
          <w:rFonts w:hint="eastAsia" w:ascii="宋体" w:hAnsi="宋体"/>
          <w:color w:val="auto"/>
          <w:sz w:val="24"/>
          <w:szCs w:val="24"/>
          <w:highlight w:val="none"/>
        </w:rPr>
      </w:pPr>
      <w:r>
        <w:rPr>
          <w:rFonts w:hint="eastAsia" w:ascii="宋体" w:hAnsi="宋体"/>
          <w:color w:val="auto"/>
          <w:spacing w:val="-2"/>
          <w:sz w:val="24"/>
          <w:szCs w:val="24"/>
          <w:highlight w:val="none"/>
        </w:rPr>
        <w:t>3.提供场地、餐具、灶具等餐厨设备，提供水、电（含水电费）。</w:t>
      </w:r>
    </w:p>
    <w:p w14:paraId="36135C30">
      <w:pPr>
        <w:pStyle w:val="14"/>
        <w:spacing w:line="434" w:lineRule="auto"/>
        <w:rPr>
          <w:color w:val="auto"/>
          <w:highlight w:val="none"/>
        </w:rPr>
      </w:pPr>
      <w:r>
        <w:rPr>
          <w:color w:val="auto"/>
          <w:highlight w:val="none"/>
        </w:rPr>
        <w:t xml:space="preserve"> </w:t>
      </w:r>
    </w:p>
    <w:p w14:paraId="1FC45B7B">
      <w:pPr>
        <w:spacing w:before="78"/>
        <w:rPr>
          <w:rFonts w:hint="eastAsia" w:ascii="宋体" w:hAnsi="宋体"/>
          <w:color w:val="auto"/>
          <w:sz w:val="24"/>
          <w:szCs w:val="24"/>
          <w:highlight w:val="none"/>
        </w:rPr>
      </w:pPr>
      <w:r>
        <w:rPr>
          <w:rFonts w:hint="eastAsia" w:ascii="宋体" w:hAnsi="宋体"/>
          <w:color w:val="auto"/>
          <w:spacing w:val="-2"/>
          <w:sz w:val="24"/>
          <w:szCs w:val="24"/>
          <w:highlight w:val="none"/>
        </w:rPr>
        <w:t>4.按合同约定的费用及支付方式，按时支付食堂服务费。</w:t>
      </w:r>
    </w:p>
    <w:p w14:paraId="4AF64072">
      <w:pPr>
        <w:spacing w:before="270"/>
        <w:rPr>
          <w:rFonts w:hint="eastAsia" w:ascii="宋体" w:hAnsi="宋体"/>
          <w:color w:val="auto"/>
          <w:sz w:val="24"/>
          <w:szCs w:val="24"/>
          <w:highlight w:val="none"/>
        </w:rPr>
      </w:pPr>
      <w:r>
        <w:rPr>
          <w:rFonts w:hint="eastAsia" w:ascii="宋体" w:hAnsi="宋体"/>
          <w:color w:val="auto"/>
          <w:spacing w:val="-2"/>
          <w:sz w:val="24"/>
          <w:szCs w:val="24"/>
          <w:highlight w:val="none"/>
        </w:rPr>
        <w:t>5.按法律规定或经双方商定由甲方承担的其他责任和义务。</w:t>
      </w:r>
    </w:p>
    <w:p w14:paraId="6413292F">
      <w:pPr>
        <w:spacing w:before="276"/>
        <w:rPr>
          <w:rFonts w:hint="eastAsia" w:ascii="宋体" w:hAnsi="宋体"/>
          <w:color w:val="auto"/>
          <w:sz w:val="24"/>
          <w:szCs w:val="24"/>
          <w:highlight w:val="none"/>
        </w:rPr>
      </w:pPr>
      <w:r>
        <w:rPr>
          <w:rFonts w:hint="eastAsia" w:ascii="宋体" w:hAnsi="宋体"/>
          <w:color w:val="auto"/>
          <w:spacing w:val="-3"/>
          <w:sz w:val="24"/>
          <w:szCs w:val="24"/>
          <w:highlight w:val="none"/>
        </w:rPr>
        <w:t>（二）乙方的权利义务</w:t>
      </w:r>
    </w:p>
    <w:p w14:paraId="4E1FCCC3">
      <w:pPr>
        <w:spacing w:before="276" w:line="429" w:lineRule="auto"/>
        <w:ind w:right="105"/>
        <w:rPr>
          <w:rFonts w:hint="eastAsia" w:ascii="宋体" w:hAnsi="宋体"/>
          <w:color w:val="auto"/>
          <w:sz w:val="24"/>
          <w:szCs w:val="24"/>
          <w:highlight w:val="none"/>
        </w:rPr>
      </w:pPr>
      <w:r>
        <w:rPr>
          <w:rFonts w:hint="eastAsia" w:ascii="宋体" w:hAnsi="宋体"/>
          <w:color w:val="auto"/>
          <w:spacing w:val="-1"/>
          <w:sz w:val="24"/>
          <w:szCs w:val="24"/>
          <w:highlight w:val="none"/>
        </w:rPr>
        <w:t>1.应根据法律、法规的规定及本合同约定，按照谈判文件报送的食堂服务方案、人员</w:t>
      </w:r>
      <w:r>
        <w:rPr>
          <w:rFonts w:hint="eastAsia" w:ascii="宋体" w:hAnsi="宋体"/>
          <w:color w:val="auto"/>
          <w:spacing w:val="-2"/>
          <w:sz w:val="24"/>
          <w:szCs w:val="24"/>
          <w:highlight w:val="none"/>
        </w:rPr>
        <w:t>编制提供食堂服务，同时配合甲方开展各类相关创建活动。</w:t>
      </w:r>
    </w:p>
    <w:p w14:paraId="34FF22C4">
      <w:pPr>
        <w:spacing w:before="1" w:line="429" w:lineRule="auto"/>
        <w:ind w:right="105"/>
        <w:rPr>
          <w:rFonts w:hint="eastAsia" w:ascii="宋体" w:hAnsi="宋体"/>
          <w:color w:val="auto"/>
          <w:sz w:val="24"/>
          <w:szCs w:val="24"/>
          <w:highlight w:val="none"/>
        </w:rPr>
      </w:pPr>
      <w:r>
        <w:rPr>
          <w:rFonts w:hint="eastAsia" w:ascii="宋体" w:hAnsi="宋体"/>
          <w:color w:val="auto"/>
          <w:spacing w:val="6"/>
          <w:sz w:val="24"/>
          <w:szCs w:val="24"/>
          <w:highlight w:val="none"/>
        </w:rPr>
        <w:t>2.保证从事本食堂项目的人员具备</w:t>
      </w:r>
      <w:r>
        <w:rPr>
          <w:rFonts w:hint="eastAsia" w:ascii="宋体" w:hAnsi="宋体"/>
          <w:color w:val="auto"/>
          <w:spacing w:val="5"/>
          <w:sz w:val="24"/>
          <w:szCs w:val="24"/>
          <w:highlight w:val="none"/>
        </w:rPr>
        <w:t>上岗要求。</w:t>
      </w:r>
      <w:r>
        <w:rPr>
          <w:rFonts w:hint="eastAsia" w:ascii="宋体" w:hAnsi="宋体"/>
          <w:color w:val="auto"/>
          <w:spacing w:val="-1"/>
          <w:sz w:val="24"/>
          <w:szCs w:val="24"/>
          <w:highlight w:val="none"/>
        </w:rPr>
        <w:t>工作人员按</w:t>
      </w:r>
      <w:r>
        <w:rPr>
          <w:rFonts w:hint="eastAsia" w:ascii="宋体" w:hAnsi="宋体"/>
          <w:color w:val="auto"/>
          <w:sz w:val="24"/>
          <w:szCs w:val="24"/>
          <w:highlight w:val="none"/>
        </w:rPr>
        <w:t>标准统一着装，佩戴工作牌（费用由乙</w:t>
      </w:r>
      <w:r>
        <w:rPr>
          <w:rFonts w:hint="eastAsia" w:ascii="宋体" w:hAnsi="宋体"/>
          <w:color w:val="auto"/>
          <w:spacing w:val="-1"/>
          <w:sz w:val="24"/>
          <w:szCs w:val="24"/>
          <w:highlight w:val="none"/>
        </w:rPr>
        <w:t>方承担）。如需调整服务人员须事先通报</w:t>
      </w:r>
      <w:r>
        <w:rPr>
          <w:rFonts w:hint="eastAsia" w:ascii="宋体" w:hAnsi="宋体"/>
          <w:color w:val="auto"/>
          <w:spacing w:val="-4"/>
          <w:sz w:val="24"/>
          <w:szCs w:val="24"/>
          <w:highlight w:val="none"/>
        </w:rPr>
        <w:t>甲方，对甲方提出认为不适合的在岗人员，乙方应在</w:t>
      </w:r>
      <w:r>
        <w:rPr>
          <w:rFonts w:hint="eastAsia" w:ascii="宋体" w:hAnsi="宋体"/>
          <w:color w:val="auto"/>
          <w:spacing w:val="-30"/>
          <w:sz w:val="24"/>
          <w:szCs w:val="24"/>
          <w:highlight w:val="none"/>
        </w:rPr>
        <w:t xml:space="preserve"> </w:t>
      </w:r>
      <w:r>
        <w:rPr>
          <w:rFonts w:hint="eastAsia" w:ascii="宋体" w:hAnsi="宋体"/>
          <w:color w:val="auto"/>
          <w:spacing w:val="-4"/>
          <w:sz w:val="24"/>
          <w:szCs w:val="24"/>
          <w:highlight w:val="none"/>
        </w:rPr>
        <w:t>2 日内调整到位。</w:t>
      </w:r>
    </w:p>
    <w:p w14:paraId="3AE58F72">
      <w:pPr>
        <w:spacing w:line="429" w:lineRule="auto"/>
        <w:ind w:right="105"/>
        <w:rPr>
          <w:rFonts w:ascii="宋体" w:hAnsi="宋体"/>
          <w:color w:val="auto"/>
          <w:spacing w:val="-6"/>
          <w:sz w:val="24"/>
          <w:szCs w:val="24"/>
          <w:highlight w:val="none"/>
        </w:rPr>
      </w:pPr>
      <w:r>
        <w:rPr>
          <w:rFonts w:hint="eastAsia" w:ascii="宋体" w:hAnsi="宋体"/>
          <w:color w:val="auto"/>
          <w:sz w:val="24"/>
          <w:szCs w:val="24"/>
          <w:highlight w:val="none"/>
        </w:rPr>
        <w:t>3.甲方行使现场管理权限，仅为项目服务管控所需，不形成任何用工隶属关系，全部用工责任、安全责任、工伤责任均由乙方独立全权承担。</w:t>
      </w:r>
    </w:p>
    <w:p w14:paraId="1263A184">
      <w:pPr>
        <w:spacing w:line="429" w:lineRule="auto"/>
        <w:ind w:right="105"/>
        <w:rPr>
          <w:rFonts w:hint="eastAsia"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本合同为政府采购服务外包合同，甲方仅依据合同约定的服务标准对乙方提供的服务成果进行验收，不对乙方服务人员的具体工作安排、考勤管理、考核奖惩、排班调度等进行直接指挥或管理。乙方服务人员的全部用工管理事项，均由乙方独立负责。双方确认，甲方与乙方服务人员之间不存在任何劳动关系、劳务派遣关系或用工关系。</w:t>
      </w:r>
    </w:p>
    <w:p w14:paraId="13BCE4E1">
      <w:pPr>
        <w:spacing w:before="3" w:line="429" w:lineRule="auto"/>
        <w:ind w:right="-95"/>
        <w:rPr>
          <w:rFonts w:hint="eastAsia" w:ascii="宋体" w:hAnsi="宋体"/>
          <w:color w:val="auto"/>
          <w:spacing w:val="-3"/>
          <w:sz w:val="24"/>
          <w:szCs w:val="24"/>
          <w:highlight w:val="none"/>
        </w:rPr>
      </w:pPr>
      <w:r>
        <w:rPr>
          <w:rFonts w:hint="eastAsia" w:ascii="宋体" w:hAnsi="宋体"/>
          <w:color w:val="auto"/>
          <w:spacing w:val="-1"/>
          <w:sz w:val="24"/>
          <w:szCs w:val="24"/>
          <w:highlight w:val="none"/>
        </w:rPr>
        <w:t>5.乙方是本项目服务人员的唯一用工主体，服务人员系乙方自行聘用、管理的人员，与乙方建立劳动关系，由乙方依法支付工资薪酬，发放加班费用、奖金福</w:t>
      </w:r>
      <w:r>
        <w:rPr>
          <w:rFonts w:hint="eastAsia" w:ascii="宋体" w:hAnsi="宋体"/>
          <w:color w:val="auto"/>
          <w:sz w:val="24"/>
          <w:szCs w:val="24"/>
          <w:highlight w:val="none"/>
        </w:rPr>
        <w:t>利、工作服等，依法缴纳社会保险费用。乙方与聘用服</w:t>
      </w:r>
      <w:r>
        <w:rPr>
          <w:rFonts w:hint="eastAsia" w:ascii="宋体" w:hAnsi="宋体"/>
          <w:color w:val="auto"/>
          <w:spacing w:val="-1"/>
          <w:sz w:val="24"/>
          <w:szCs w:val="24"/>
          <w:highlight w:val="none"/>
        </w:rPr>
        <w:t>务人员发生劳动合同争议，均由乙</w:t>
      </w:r>
      <w:r>
        <w:rPr>
          <w:rFonts w:hint="eastAsia" w:ascii="宋体" w:hAnsi="宋体"/>
          <w:color w:val="auto"/>
          <w:spacing w:val="-3"/>
          <w:sz w:val="24"/>
          <w:szCs w:val="24"/>
          <w:highlight w:val="none"/>
        </w:rPr>
        <w:t>方负责处理并承担全部的法律责任，甲方不承担用工主体责任。</w:t>
      </w:r>
    </w:p>
    <w:p w14:paraId="50A544C2">
      <w:pPr>
        <w:spacing w:before="3" w:line="429" w:lineRule="auto"/>
        <w:ind w:right="-95"/>
        <w:rPr>
          <w:rFonts w:hint="eastAsia" w:ascii="宋体" w:hAnsi="宋体"/>
          <w:color w:val="auto"/>
          <w:sz w:val="24"/>
          <w:szCs w:val="24"/>
          <w:highlight w:val="none"/>
        </w:rPr>
      </w:pPr>
      <w:r>
        <w:rPr>
          <w:rFonts w:hint="eastAsia" w:ascii="宋体" w:hAnsi="宋体"/>
          <w:color w:val="auto"/>
          <w:spacing w:val="-3"/>
          <w:sz w:val="24"/>
          <w:szCs w:val="24"/>
          <w:highlight w:val="none"/>
        </w:rPr>
        <w:t>6</w:t>
      </w:r>
      <w:r>
        <w:rPr>
          <w:rFonts w:hint="eastAsia" w:ascii="宋体" w:hAnsi="宋体"/>
          <w:color w:val="auto"/>
          <w:sz w:val="24"/>
          <w:szCs w:val="24"/>
          <w:highlight w:val="none"/>
        </w:rPr>
        <w:t>.乙方人员在甲方提供服务期间及上下班途中，发生的</w:t>
      </w:r>
      <w:r>
        <w:rPr>
          <w:rFonts w:hint="eastAsia" w:ascii="宋体" w:hAnsi="宋体"/>
          <w:color w:val="auto"/>
          <w:spacing w:val="-1"/>
          <w:sz w:val="24"/>
          <w:szCs w:val="24"/>
          <w:highlight w:val="none"/>
        </w:rPr>
        <w:t>所有安全事故、重大疾病、人</w:t>
      </w:r>
      <w:r>
        <w:rPr>
          <w:rFonts w:hint="eastAsia" w:ascii="宋体" w:hAnsi="宋体"/>
          <w:color w:val="auto"/>
          <w:sz w:val="24"/>
          <w:szCs w:val="24"/>
          <w:highlight w:val="none"/>
        </w:rPr>
        <w:t>身伤亡、遭受人身伤害或致他人伤害等，均由乙方</w:t>
      </w:r>
      <w:r>
        <w:rPr>
          <w:rFonts w:hint="eastAsia" w:ascii="宋体" w:hAnsi="宋体"/>
          <w:color w:val="auto"/>
          <w:spacing w:val="-1"/>
          <w:sz w:val="24"/>
          <w:szCs w:val="24"/>
          <w:highlight w:val="none"/>
        </w:rPr>
        <w:t>负责处理并承担由此产生的一切费用</w:t>
      </w:r>
      <w:r>
        <w:rPr>
          <w:rFonts w:hint="eastAsia" w:ascii="宋体" w:hAnsi="宋体"/>
          <w:color w:val="auto"/>
          <w:spacing w:val="-6"/>
          <w:sz w:val="24"/>
          <w:szCs w:val="24"/>
          <w:highlight w:val="none"/>
        </w:rPr>
        <w:t>。</w:t>
      </w:r>
    </w:p>
    <w:p w14:paraId="6F4BA914">
      <w:pPr>
        <w:tabs>
          <w:tab w:val="left" w:pos="8200"/>
        </w:tabs>
        <w:spacing w:before="5" w:line="429" w:lineRule="auto"/>
        <w:ind w:right="105"/>
        <w:rPr>
          <w:rFonts w:hint="eastAsia" w:ascii="宋体" w:hAnsi="宋体"/>
          <w:color w:val="auto"/>
          <w:sz w:val="24"/>
          <w:szCs w:val="24"/>
          <w:highlight w:val="none"/>
        </w:rPr>
      </w:pPr>
      <w:r>
        <w:rPr>
          <w:rFonts w:hint="eastAsia" w:ascii="宋体" w:hAnsi="宋体"/>
          <w:color w:val="auto"/>
          <w:spacing w:val="-1"/>
          <w:sz w:val="24"/>
          <w:szCs w:val="24"/>
          <w:highlight w:val="none"/>
        </w:rPr>
        <w:t>7.合同生效7日内与甲方清点并签署《物品、资料交接确认单》，履行合同过程中，</w:t>
      </w:r>
      <w:r>
        <w:rPr>
          <w:rFonts w:hint="eastAsia" w:ascii="宋体" w:hAnsi="宋体"/>
          <w:color w:val="auto"/>
          <w:sz w:val="24"/>
          <w:szCs w:val="24"/>
          <w:highlight w:val="none"/>
        </w:rPr>
        <w:t>乙方应当妥善保管甲方提供的设备、工具等物品和资料</w:t>
      </w:r>
      <w:r>
        <w:rPr>
          <w:rFonts w:hint="eastAsia" w:ascii="宋体" w:hAnsi="宋体"/>
          <w:color w:val="auto"/>
          <w:spacing w:val="-1"/>
          <w:sz w:val="24"/>
          <w:szCs w:val="24"/>
          <w:highlight w:val="none"/>
        </w:rPr>
        <w:t>，保证各类物品、资料正常运行以</w:t>
      </w:r>
      <w:r>
        <w:rPr>
          <w:rFonts w:hint="eastAsia" w:ascii="宋体" w:hAnsi="宋体"/>
          <w:color w:val="auto"/>
          <w:sz w:val="24"/>
          <w:szCs w:val="24"/>
          <w:highlight w:val="none"/>
        </w:rPr>
        <w:t>及状态良好，合同终止时，乙方须在7日内向甲方移交</w:t>
      </w:r>
      <w:r>
        <w:rPr>
          <w:rFonts w:hint="eastAsia" w:ascii="宋体" w:hAnsi="宋体"/>
          <w:color w:val="auto"/>
          <w:spacing w:val="-1"/>
          <w:sz w:val="24"/>
          <w:szCs w:val="24"/>
          <w:highlight w:val="none"/>
        </w:rPr>
        <w:t>设备、工具等甲方所有的物品和资</w:t>
      </w:r>
      <w:r>
        <w:rPr>
          <w:rFonts w:hint="eastAsia" w:ascii="宋体" w:hAnsi="宋体"/>
          <w:color w:val="auto"/>
          <w:sz w:val="24"/>
          <w:szCs w:val="24"/>
          <w:highlight w:val="none"/>
        </w:rPr>
        <w:t>料。乙方所有移交的内容应提供清单并由经双方</w:t>
      </w:r>
      <w:r>
        <w:rPr>
          <w:rFonts w:hint="eastAsia" w:ascii="宋体" w:hAnsi="宋体"/>
          <w:color w:val="auto"/>
          <w:spacing w:val="-1"/>
          <w:sz w:val="24"/>
          <w:szCs w:val="24"/>
          <w:highlight w:val="none"/>
        </w:rPr>
        <w:t>签收确认；如有损坏须按原设备补全或赔偿，全部手续完成后签署移交确认</w:t>
      </w:r>
      <w:r>
        <w:rPr>
          <w:rFonts w:hint="eastAsia" w:ascii="宋体" w:hAnsi="宋体"/>
          <w:color w:val="auto"/>
          <w:spacing w:val="-11"/>
          <w:sz w:val="24"/>
          <w:szCs w:val="24"/>
          <w:highlight w:val="none"/>
        </w:rPr>
        <w:t>书。</w:t>
      </w:r>
    </w:p>
    <w:p w14:paraId="44A265F7">
      <w:pPr>
        <w:spacing w:before="78"/>
        <w:rPr>
          <w:rFonts w:hint="eastAsia" w:ascii="宋体" w:hAnsi="宋体"/>
          <w:color w:val="auto"/>
          <w:sz w:val="24"/>
          <w:szCs w:val="24"/>
          <w:highlight w:val="none"/>
        </w:rPr>
      </w:pPr>
      <w:r>
        <w:rPr>
          <w:rFonts w:hint="eastAsia" w:ascii="宋体" w:hAnsi="宋体"/>
          <w:color w:val="auto"/>
          <w:spacing w:val="-2"/>
          <w:sz w:val="24"/>
          <w:szCs w:val="24"/>
          <w:highlight w:val="none"/>
        </w:rPr>
        <w:t>7.按法律规定或经双方商定应由乙方承担的其他责任和义务。</w:t>
      </w:r>
    </w:p>
    <w:p w14:paraId="252E9EC2">
      <w:pPr>
        <w:spacing w:before="270"/>
        <w:rPr>
          <w:rFonts w:hint="eastAsia" w:ascii="宋体" w:hAnsi="宋体"/>
          <w:color w:val="auto"/>
          <w:sz w:val="24"/>
          <w:szCs w:val="24"/>
          <w:highlight w:val="none"/>
        </w:rPr>
      </w:pPr>
      <w:r>
        <w:rPr>
          <w:rFonts w:hint="eastAsia" w:ascii="宋体" w:hAnsi="宋体"/>
          <w:b/>
          <w:bCs/>
          <w:color w:val="auto"/>
          <w:spacing w:val="-3"/>
          <w:sz w:val="24"/>
          <w:szCs w:val="24"/>
          <w:highlight w:val="none"/>
        </w:rPr>
        <w:t>第八条</w:t>
      </w:r>
      <w:r>
        <w:rPr>
          <w:rFonts w:hint="eastAsia" w:ascii="宋体" w:hAnsi="宋体"/>
          <w:color w:val="auto"/>
          <w:spacing w:val="-3"/>
          <w:sz w:val="24"/>
          <w:szCs w:val="24"/>
          <w:highlight w:val="none"/>
        </w:rPr>
        <w:t xml:space="preserve"> </w:t>
      </w:r>
      <w:r>
        <w:rPr>
          <w:rFonts w:hint="eastAsia" w:ascii="宋体" w:hAnsi="宋体"/>
          <w:b/>
          <w:bCs/>
          <w:color w:val="auto"/>
          <w:spacing w:val="-3"/>
          <w:sz w:val="24"/>
          <w:szCs w:val="24"/>
          <w:highlight w:val="none"/>
        </w:rPr>
        <w:t>违约责任</w:t>
      </w:r>
    </w:p>
    <w:p w14:paraId="088D2CC8">
      <w:pPr>
        <w:spacing w:before="276" w:line="429" w:lineRule="auto"/>
        <w:ind w:right="105"/>
        <w:rPr>
          <w:rFonts w:hint="eastAsia" w:ascii="宋体" w:hAnsi="宋体"/>
          <w:color w:val="auto"/>
          <w:sz w:val="24"/>
          <w:szCs w:val="24"/>
          <w:highlight w:val="none"/>
        </w:rPr>
      </w:pPr>
      <w:r>
        <w:rPr>
          <w:rFonts w:hint="eastAsia" w:ascii="宋体" w:hAnsi="宋体"/>
          <w:color w:val="auto"/>
          <w:spacing w:val="-1"/>
          <w:sz w:val="24"/>
          <w:szCs w:val="24"/>
          <w:highlight w:val="none"/>
        </w:rPr>
        <w:t>（一）乙方按合同约定的质量标准履行管理服务职责，未按合同约定的质量标准履行</w:t>
      </w:r>
      <w:r>
        <w:rPr>
          <w:rFonts w:hint="eastAsia" w:ascii="宋体" w:hAnsi="宋体"/>
          <w:color w:val="auto"/>
          <w:sz w:val="24"/>
          <w:szCs w:val="24"/>
          <w:highlight w:val="none"/>
        </w:rPr>
        <w:t>管理服务职责，但未给甲方造成损失的，甲方可</w:t>
      </w:r>
      <w:r>
        <w:rPr>
          <w:rFonts w:hint="eastAsia" w:ascii="宋体" w:hAnsi="宋体"/>
          <w:color w:val="auto"/>
          <w:spacing w:val="-1"/>
          <w:sz w:val="24"/>
          <w:szCs w:val="24"/>
          <w:highlight w:val="none"/>
        </w:rPr>
        <w:t>要求乙方整改，同时视作乙方违约，每发</w:t>
      </w:r>
      <w:r>
        <w:rPr>
          <w:rFonts w:hint="eastAsia" w:ascii="宋体" w:hAnsi="宋体"/>
          <w:color w:val="auto"/>
          <w:spacing w:val="-3"/>
          <w:sz w:val="24"/>
          <w:szCs w:val="24"/>
          <w:highlight w:val="none"/>
        </w:rPr>
        <w:t>生一次扣</w:t>
      </w:r>
      <w:r>
        <w:rPr>
          <w:rFonts w:hint="eastAsia" w:ascii="宋体" w:hAnsi="宋体"/>
          <w:color w:val="auto"/>
          <w:spacing w:val="-33"/>
          <w:sz w:val="24"/>
          <w:szCs w:val="24"/>
          <w:highlight w:val="none"/>
        </w:rPr>
        <w:t xml:space="preserve"> </w:t>
      </w:r>
      <w:r>
        <w:rPr>
          <w:rFonts w:hint="eastAsia" w:ascii="宋体" w:hAnsi="宋体"/>
          <w:color w:val="auto"/>
          <w:spacing w:val="-3"/>
          <w:sz w:val="24"/>
          <w:szCs w:val="24"/>
          <w:highlight w:val="none"/>
        </w:rPr>
        <w:t>50</w:t>
      </w:r>
      <w:r>
        <w:rPr>
          <w:rFonts w:hint="eastAsia" w:ascii="宋体" w:hAnsi="宋体"/>
          <w:color w:val="auto"/>
          <w:spacing w:val="-51"/>
          <w:sz w:val="24"/>
          <w:szCs w:val="24"/>
          <w:highlight w:val="none"/>
        </w:rPr>
        <w:t xml:space="preserve"> </w:t>
      </w:r>
      <w:r>
        <w:rPr>
          <w:rFonts w:hint="eastAsia" w:ascii="宋体" w:hAnsi="宋体"/>
          <w:color w:val="auto"/>
          <w:spacing w:val="-3"/>
          <w:sz w:val="24"/>
          <w:szCs w:val="24"/>
          <w:highlight w:val="none"/>
        </w:rPr>
        <w:t>元至</w:t>
      </w:r>
      <w:r>
        <w:rPr>
          <w:rFonts w:hint="eastAsia" w:ascii="宋体" w:hAnsi="宋体"/>
          <w:color w:val="auto"/>
          <w:spacing w:val="-48"/>
          <w:sz w:val="24"/>
          <w:szCs w:val="24"/>
          <w:highlight w:val="none"/>
        </w:rPr>
        <w:t xml:space="preserve"> </w:t>
      </w:r>
      <w:r>
        <w:rPr>
          <w:rFonts w:hint="eastAsia" w:ascii="宋体" w:hAnsi="宋体"/>
          <w:color w:val="auto"/>
          <w:spacing w:val="-3"/>
          <w:sz w:val="24"/>
          <w:szCs w:val="24"/>
          <w:highlight w:val="none"/>
        </w:rPr>
        <w:t>500</w:t>
      </w:r>
      <w:r>
        <w:rPr>
          <w:rFonts w:hint="eastAsia" w:ascii="宋体" w:hAnsi="宋体"/>
          <w:color w:val="auto"/>
          <w:spacing w:val="-51"/>
          <w:sz w:val="24"/>
          <w:szCs w:val="24"/>
          <w:highlight w:val="none"/>
        </w:rPr>
        <w:t xml:space="preserve"> </w:t>
      </w:r>
      <w:r>
        <w:rPr>
          <w:rFonts w:hint="eastAsia" w:ascii="宋体" w:hAnsi="宋体"/>
          <w:color w:val="auto"/>
          <w:spacing w:val="-3"/>
          <w:sz w:val="24"/>
          <w:szCs w:val="24"/>
          <w:highlight w:val="none"/>
        </w:rPr>
        <w:t>元违约金，有关扣款将在结算服务费用时予以扣除。</w:t>
      </w:r>
    </w:p>
    <w:p w14:paraId="2AFB9FE4">
      <w:pPr>
        <w:spacing w:before="3" w:line="429" w:lineRule="auto"/>
        <w:ind w:right="105"/>
        <w:rPr>
          <w:rFonts w:hint="eastAsia" w:ascii="宋体" w:hAnsi="宋体"/>
          <w:color w:val="auto"/>
          <w:sz w:val="24"/>
          <w:szCs w:val="24"/>
          <w:highlight w:val="none"/>
        </w:rPr>
      </w:pPr>
      <w:r>
        <w:rPr>
          <w:rFonts w:hint="eastAsia" w:ascii="宋体" w:hAnsi="宋体"/>
          <w:color w:val="auto"/>
          <w:spacing w:val="-1"/>
          <w:sz w:val="24"/>
          <w:szCs w:val="24"/>
          <w:highlight w:val="none"/>
        </w:rPr>
        <w:t>（二）乙方未按合同约定的质量标准履行管理服务职责，给甲方造成损失的，甲方可</w:t>
      </w:r>
      <w:r>
        <w:rPr>
          <w:rFonts w:hint="eastAsia" w:ascii="宋体" w:hAnsi="宋体"/>
          <w:color w:val="auto"/>
          <w:spacing w:val="-2"/>
          <w:sz w:val="24"/>
          <w:szCs w:val="24"/>
          <w:highlight w:val="none"/>
        </w:rPr>
        <w:t>要求乙方按实赔偿，并视损失情况赔付甲方</w:t>
      </w:r>
      <w:r>
        <w:rPr>
          <w:rFonts w:hint="eastAsia" w:ascii="宋体" w:hAnsi="宋体"/>
          <w:color w:val="auto"/>
          <w:spacing w:val="-22"/>
          <w:sz w:val="24"/>
          <w:szCs w:val="24"/>
          <w:highlight w:val="none"/>
        </w:rPr>
        <w:t xml:space="preserve"> </w:t>
      </w:r>
      <w:r>
        <w:rPr>
          <w:rFonts w:hint="eastAsia" w:ascii="宋体" w:hAnsi="宋体"/>
          <w:color w:val="auto"/>
          <w:spacing w:val="-2"/>
          <w:sz w:val="24"/>
          <w:szCs w:val="24"/>
          <w:highlight w:val="none"/>
        </w:rPr>
        <w:t>1000</w:t>
      </w:r>
      <w:r>
        <w:rPr>
          <w:rFonts w:hint="eastAsia" w:ascii="宋体" w:hAnsi="宋体"/>
          <w:color w:val="auto"/>
          <w:spacing w:val="-51"/>
          <w:sz w:val="24"/>
          <w:szCs w:val="24"/>
          <w:highlight w:val="none"/>
        </w:rPr>
        <w:t xml:space="preserve"> </w:t>
      </w:r>
      <w:r>
        <w:rPr>
          <w:rFonts w:hint="eastAsia" w:ascii="宋体" w:hAnsi="宋体"/>
          <w:color w:val="auto"/>
          <w:spacing w:val="-2"/>
          <w:sz w:val="24"/>
          <w:szCs w:val="24"/>
          <w:highlight w:val="none"/>
        </w:rPr>
        <w:t>元至</w:t>
      </w:r>
      <w:r>
        <w:rPr>
          <w:rFonts w:hint="eastAsia" w:ascii="宋体" w:hAnsi="宋体"/>
          <w:color w:val="auto"/>
          <w:spacing w:val="-48"/>
          <w:sz w:val="24"/>
          <w:szCs w:val="24"/>
          <w:highlight w:val="none"/>
        </w:rPr>
        <w:t xml:space="preserve"> </w:t>
      </w:r>
      <w:r>
        <w:rPr>
          <w:rFonts w:hint="eastAsia" w:ascii="宋体" w:hAnsi="宋体"/>
          <w:color w:val="auto"/>
          <w:spacing w:val="-2"/>
          <w:sz w:val="24"/>
          <w:szCs w:val="24"/>
          <w:highlight w:val="none"/>
        </w:rPr>
        <w:t>5000</w:t>
      </w:r>
      <w:r>
        <w:rPr>
          <w:rFonts w:hint="eastAsia" w:ascii="宋体" w:hAnsi="宋体"/>
          <w:color w:val="auto"/>
          <w:spacing w:val="-51"/>
          <w:sz w:val="24"/>
          <w:szCs w:val="24"/>
          <w:highlight w:val="none"/>
        </w:rPr>
        <w:t xml:space="preserve"> </w:t>
      </w:r>
      <w:r>
        <w:rPr>
          <w:rFonts w:hint="eastAsia" w:ascii="宋体" w:hAnsi="宋体"/>
          <w:color w:val="auto"/>
          <w:spacing w:val="-2"/>
          <w:sz w:val="24"/>
          <w:szCs w:val="24"/>
          <w:highlight w:val="none"/>
        </w:rPr>
        <w:t>元；如乙方严重违反管理服务</w:t>
      </w:r>
      <w:r>
        <w:rPr>
          <w:rFonts w:hint="eastAsia" w:ascii="宋体" w:hAnsi="宋体"/>
          <w:color w:val="auto"/>
          <w:sz w:val="24"/>
          <w:szCs w:val="24"/>
          <w:highlight w:val="none"/>
        </w:rPr>
        <w:t>质量标准的，甲方有权督促其进行整改，并推迟支付相</w:t>
      </w:r>
      <w:r>
        <w:rPr>
          <w:rFonts w:hint="eastAsia" w:ascii="宋体" w:hAnsi="宋体"/>
          <w:color w:val="auto"/>
          <w:spacing w:val="-1"/>
          <w:sz w:val="24"/>
          <w:szCs w:val="24"/>
          <w:highlight w:val="none"/>
        </w:rPr>
        <w:t>应的管理服务费用，直至乙方整改达标后，甲方再行支付。乙方拒不整改的，经甲方提示</w:t>
      </w:r>
      <w:r>
        <w:rPr>
          <w:rFonts w:hint="eastAsia" w:ascii="宋体" w:hAnsi="宋体"/>
          <w:color w:val="auto"/>
          <w:spacing w:val="-46"/>
          <w:sz w:val="24"/>
          <w:szCs w:val="24"/>
          <w:highlight w:val="none"/>
        </w:rPr>
        <w:t xml:space="preserve"> </w:t>
      </w:r>
      <w:r>
        <w:rPr>
          <w:rFonts w:hint="eastAsia" w:ascii="宋体" w:hAnsi="宋体"/>
          <w:color w:val="auto"/>
          <w:spacing w:val="-1"/>
          <w:sz w:val="24"/>
          <w:szCs w:val="24"/>
          <w:highlight w:val="none"/>
        </w:rPr>
        <w:t>3</w:t>
      </w:r>
      <w:r>
        <w:rPr>
          <w:rFonts w:hint="eastAsia" w:ascii="宋体" w:hAnsi="宋体"/>
          <w:color w:val="auto"/>
          <w:spacing w:val="-46"/>
          <w:sz w:val="24"/>
          <w:szCs w:val="24"/>
          <w:highlight w:val="none"/>
        </w:rPr>
        <w:t xml:space="preserve"> </w:t>
      </w:r>
      <w:r>
        <w:rPr>
          <w:rFonts w:hint="eastAsia" w:ascii="宋体" w:hAnsi="宋体"/>
          <w:color w:val="auto"/>
          <w:spacing w:val="-1"/>
          <w:sz w:val="24"/>
          <w:szCs w:val="24"/>
          <w:highlight w:val="none"/>
        </w:rPr>
        <w:t>次无效后，甲方有</w:t>
      </w:r>
      <w:r>
        <w:rPr>
          <w:rFonts w:hint="eastAsia" w:ascii="宋体" w:hAnsi="宋体"/>
          <w:color w:val="auto"/>
          <w:spacing w:val="-2"/>
          <w:sz w:val="24"/>
          <w:szCs w:val="24"/>
          <w:highlight w:val="none"/>
        </w:rPr>
        <w:t>权单方解除合</w:t>
      </w:r>
      <w:r>
        <w:rPr>
          <w:rFonts w:hint="eastAsia" w:ascii="宋体" w:hAnsi="宋体"/>
          <w:color w:val="auto"/>
          <w:spacing w:val="-11"/>
          <w:sz w:val="24"/>
          <w:szCs w:val="24"/>
          <w:highlight w:val="none"/>
        </w:rPr>
        <w:t>同。</w:t>
      </w:r>
    </w:p>
    <w:p w14:paraId="1231C041">
      <w:pPr>
        <w:spacing w:line="432" w:lineRule="auto"/>
        <w:ind w:right="-95"/>
        <w:rPr>
          <w:rFonts w:hint="eastAsia" w:ascii="宋体" w:hAnsi="宋体"/>
          <w:color w:val="auto"/>
          <w:sz w:val="24"/>
          <w:szCs w:val="24"/>
          <w:highlight w:val="none"/>
        </w:rPr>
      </w:pPr>
      <w:r>
        <w:rPr>
          <w:rFonts w:hint="eastAsia" w:ascii="宋体" w:hAnsi="宋体"/>
          <w:color w:val="auto"/>
          <w:spacing w:val="-8"/>
          <w:sz w:val="24"/>
          <w:szCs w:val="24"/>
          <w:highlight w:val="none"/>
        </w:rPr>
        <w:t>（三）因乙方原因导致甲方提供的物品、资料受损的， 甲方可以要求</w:t>
      </w:r>
      <w:r>
        <w:rPr>
          <w:rFonts w:hint="eastAsia" w:ascii="宋体" w:hAnsi="宋体"/>
          <w:color w:val="auto"/>
          <w:spacing w:val="-9"/>
          <w:sz w:val="24"/>
          <w:szCs w:val="24"/>
          <w:highlight w:val="none"/>
        </w:rPr>
        <w:t>乙方负赔偿责任，</w:t>
      </w:r>
      <w:r>
        <w:rPr>
          <w:rFonts w:hint="eastAsia" w:ascii="宋体" w:hAnsi="宋体"/>
          <w:color w:val="auto"/>
          <w:spacing w:val="-4"/>
          <w:sz w:val="24"/>
          <w:szCs w:val="24"/>
          <w:highlight w:val="none"/>
        </w:rPr>
        <w:t>赔偿甲方遭受的实际损失。</w:t>
      </w:r>
    </w:p>
    <w:p w14:paraId="19A92999">
      <w:pPr>
        <w:spacing w:before="4" w:line="429" w:lineRule="auto"/>
        <w:ind w:right="105"/>
        <w:rPr>
          <w:rFonts w:hint="eastAsia" w:ascii="宋体" w:hAnsi="宋体"/>
          <w:color w:val="auto"/>
          <w:sz w:val="24"/>
          <w:szCs w:val="24"/>
          <w:highlight w:val="none"/>
        </w:rPr>
      </w:pPr>
      <w:r>
        <w:rPr>
          <w:rFonts w:hint="eastAsia" w:ascii="宋体" w:hAnsi="宋体"/>
          <w:color w:val="auto"/>
          <w:spacing w:val="-1"/>
          <w:sz w:val="24"/>
          <w:szCs w:val="24"/>
          <w:highlight w:val="none"/>
        </w:rPr>
        <w:t>（四）因乙方原因导致重大火灾、食物中毒等事件的，甲方有权单方解除合同，乙方</w:t>
      </w:r>
      <w:r>
        <w:rPr>
          <w:rFonts w:hint="eastAsia" w:ascii="宋体" w:hAnsi="宋体"/>
          <w:color w:val="auto"/>
          <w:spacing w:val="-2"/>
          <w:sz w:val="24"/>
          <w:szCs w:val="24"/>
          <w:highlight w:val="none"/>
        </w:rPr>
        <w:t>应当向甲方支付合同总价</w:t>
      </w:r>
      <w:r>
        <w:rPr>
          <w:rFonts w:hint="eastAsia" w:ascii="宋体" w:hAnsi="宋体"/>
          <w:color w:val="auto"/>
          <w:spacing w:val="-47"/>
          <w:sz w:val="24"/>
          <w:szCs w:val="24"/>
          <w:highlight w:val="none"/>
        </w:rPr>
        <w:t xml:space="preserve"> </w:t>
      </w:r>
      <w:r>
        <w:rPr>
          <w:rFonts w:hint="eastAsia" w:ascii="宋体" w:hAnsi="宋体"/>
          <w:color w:val="auto"/>
          <w:spacing w:val="-2"/>
          <w:sz w:val="24"/>
          <w:szCs w:val="24"/>
          <w:highlight w:val="none"/>
        </w:rPr>
        <w:t>5%的违约金，如甲方损失超过违约金</w:t>
      </w:r>
      <w:r>
        <w:rPr>
          <w:rFonts w:hint="eastAsia" w:ascii="宋体" w:hAnsi="宋体"/>
          <w:color w:val="auto"/>
          <w:spacing w:val="-3"/>
          <w:sz w:val="24"/>
          <w:szCs w:val="24"/>
          <w:highlight w:val="none"/>
        </w:rPr>
        <w:t>数额，对于超出的部分，甲</w:t>
      </w:r>
      <w:r>
        <w:rPr>
          <w:rFonts w:hint="eastAsia" w:ascii="宋体" w:hAnsi="宋体"/>
          <w:color w:val="auto"/>
          <w:spacing w:val="-1"/>
          <w:sz w:val="24"/>
          <w:szCs w:val="24"/>
          <w:highlight w:val="none"/>
        </w:rPr>
        <w:t>方有权继续向乙方主张赔偿责任；由此产生的其他</w:t>
      </w:r>
      <w:r>
        <w:rPr>
          <w:rFonts w:hint="eastAsia" w:ascii="宋体" w:hAnsi="宋体"/>
          <w:color w:val="auto"/>
          <w:spacing w:val="-2"/>
          <w:sz w:val="24"/>
          <w:szCs w:val="24"/>
          <w:highlight w:val="none"/>
        </w:rPr>
        <w:t>法律后果均由乙方承担。</w:t>
      </w:r>
    </w:p>
    <w:p w14:paraId="09AD9DF7">
      <w:pPr>
        <w:rPr>
          <w:rFonts w:hint="eastAsia" w:ascii="宋体" w:hAnsi="宋体"/>
          <w:color w:val="auto"/>
          <w:sz w:val="24"/>
          <w:szCs w:val="24"/>
          <w:highlight w:val="none"/>
        </w:rPr>
      </w:pPr>
      <w:r>
        <w:rPr>
          <w:rFonts w:hint="eastAsia" w:ascii="宋体" w:hAnsi="宋体"/>
          <w:b/>
          <w:bCs/>
          <w:color w:val="auto"/>
          <w:spacing w:val="-3"/>
          <w:sz w:val="24"/>
          <w:szCs w:val="24"/>
          <w:highlight w:val="none"/>
        </w:rPr>
        <w:t>第九条</w:t>
      </w:r>
      <w:r>
        <w:rPr>
          <w:rFonts w:hint="eastAsia" w:ascii="宋体" w:hAnsi="宋体"/>
          <w:color w:val="auto"/>
          <w:spacing w:val="-3"/>
          <w:sz w:val="24"/>
          <w:szCs w:val="24"/>
          <w:highlight w:val="none"/>
        </w:rPr>
        <w:t xml:space="preserve">  </w:t>
      </w:r>
      <w:r>
        <w:rPr>
          <w:rFonts w:hint="eastAsia" w:ascii="宋体" w:hAnsi="宋体"/>
          <w:b/>
          <w:bCs/>
          <w:color w:val="auto"/>
          <w:spacing w:val="-3"/>
          <w:sz w:val="24"/>
          <w:szCs w:val="24"/>
          <w:highlight w:val="none"/>
        </w:rPr>
        <w:t>其他约定</w:t>
      </w:r>
    </w:p>
    <w:p w14:paraId="6491B5DD">
      <w:pPr>
        <w:spacing w:before="272"/>
        <w:rPr>
          <w:rFonts w:hint="eastAsia" w:ascii="宋体" w:hAnsi="宋体"/>
          <w:color w:val="auto"/>
          <w:sz w:val="24"/>
          <w:szCs w:val="24"/>
          <w:highlight w:val="none"/>
        </w:rPr>
      </w:pPr>
      <w:r>
        <w:rPr>
          <w:rFonts w:hint="eastAsia" w:ascii="宋体" w:hAnsi="宋体"/>
          <w:color w:val="auto"/>
          <w:spacing w:val="-2"/>
          <w:sz w:val="24"/>
          <w:szCs w:val="24"/>
          <w:highlight w:val="none"/>
        </w:rPr>
        <w:t>乙方应在约定范围内保证为甲方职工提供质优价廉的食品，满足个人购买食品需求。</w:t>
      </w:r>
    </w:p>
    <w:p w14:paraId="44FAD4C6">
      <w:pPr>
        <w:spacing w:before="277"/>
        <w:rPr>
          <w:rFonts w:hint="eastAsia" w:ascii="宋体" w:hAnsi="宋体"/>
          <w:color w:val="auto"/>
          <w:sz w:val="24"/>
          <w:szCs w:val="24"/>
          <w:highlight w:val="none"/>
        </w:rPr>
      </w:pPr>
      <w:r>
        <w:rPr>
          <w:rFonts w:hint="eastAsia" w:ascii="宋体" w:hAnsi="宋体"/>
          <w:b/>
          <w:bCs/>
          <w:color w:val="auto"/>
          <w:spacing w:val="-3"/>
          <w:sz w:val="24"/>
          <w:szCs w:val="24"/>
          <w:highlight w:val="none"/>
        </w:rPr>
        <w:t>第十条</w:t>
      </w:r>
      <w:r>
        <w:rPr>
          <w:rFonts w:hint="eastAsia" w:ascii="宋体" w:hAnsi="宋体"/>
          <w:color w:val="auto"/>
          <w:spacing w:val="-3"/>
          <w:sz w:val="24"/>
          <w:szCs w:val="24"/>
          <w:highlight w:val="none"/>
        </w:rPr>
        <w:t xml:space="preserve">  </w:t>
      </w:r>
      <w:r>
        <w:rPr>
          <w:rFonts w:hint="eastAsia" w:ascii="宋体" w:hAnsi="宋体"/>
          <w:b/>
          <w:bCs/>
          <w:color w:val="auto"/>
          <w:spacing w:val="-3"/>
          <w:sz w:val="24"/>
          <w:szCs w:val="24"/>
          <w:highlight w:val="none"/>
        </w:rPr>
        <w:t>争议解决方式</w:t>
      </w:r>
    </w:p>
    <w:p w14:paraId="65C18293">
      <w:pPr>
        <w:spacing w:before="278" w:line="429" w:lineRule="auto"/>
        <w:ind w:right="-95"/>
        <w:rPr>
          <w:rFonts w:hint="eastAsia" w:ascii="宋体" w:hAnsi="宋体"/>
          <w:color w:val="auto"/>
          <w:sz w:val="24"/>
          <w:szCs w:val="24"/>
          <w:highlight w:val="none"/>
        </w:rPr>
      </w:pPr>
      <w:r>
        <w:rPr>
          <w:rFonts w:hint="eastAsia" w:ascii="宋体" w:hAnsi="宋体"/>
          <w:color w:val="auto"/>
          <w:spacing w:val="-1"/>
          <w:sz w:val="24"/>
          <w:szCs w:val="24"/>
          <w:highlight w:val="none"/>
        </w:rPr>
        <w:t>（一）双方在执行合同中所发生的一切争议，应通过协商解决。如协商不成，按下列</w:t>
      </w:r>
      <w:r>
        <w:rPr>
          <w:rFonts w:hint="eastAsia" w:ascii="宋体" w:hAnsi="宋体"/>
          <w:color w:val="auto"/>
          <w:spacing w:val="-6"/>
          <w:sz w:val="24"/>
          <w:szCs w:val="24"/>
          <w:highlight w:val="none"/>
        </w:rPr>
        <w:t>第</w:t>
      </w:r>
      <w:r>
        <w:rPr>
          <w:rFonts w:hint="eastAsia" w:ascii="宋体" w:hAnsi="宋体"/>
          <w:color w:val="auto"/>
          <w:spacing w:val="-6"/>
          <w:sz w:val="24"/>
          <w:szCs w:val="24"/>
          <w:highlight w:val="none"/>
          <w:u w:val="single"/>
        </w:rPr>
        <w:t xml:space="preserve"> （2） </w:t>
      </w:r>
      <w:r>
        <w:rPr>
          <w:rFonts w:hint="eastAsia" w:ascii="宋体" w:hAnsi="宋体"/>
          <w:color w:val="auto"/>
          <w:spacing w:val="-103"/>
          <w:sz w:val="24"/>
          <w:szCs w:val="24"/>
          <w:highlight w:val="none"/>
        </w:rPr>
        <w:t xml:space="preserve"> </w:t>
      </w:r>
      <w:r>
        <w:rPr>
          <w:rFonts w:hint="eastAsia" w:ascii="宋体" w:hAnsi="宋体"/>
          <w:color w:val="auto"/>
          <w:spacing w:val="-6"/>
          <w:sz w:val="24"/>
          <w:szCs w:val="24"/>
          <w:highlight w:val="none"/>
        </w:rPr>
        <w:t>种方式解决：</w:t>
      </w:r>
    </w:p>
    <w:p w14:paraId="4BBB28A7">
      <w:pPr>
        <w:spacing w:before="1"/>
        <w:rPr>
          <w:rFonts w:hint="eastAsia" w:ascii="宋体" w:hAnsi="宋体"/>
          <w:color w:val="auto"/>
          <w:sz w:val="24"/>
          <w:szCs w:val="24"/>
          <w:highlight w:val="none"/>
        </w:rPr>
      </w:pPr>
      <w:r>
        <w:rPr>
          <w:rFonts w:hint="eastAsia" w:ascii="宋体" w:hAnsi="宋体"/>
          <w:color w:val="auto"/>
          <w:spacing w:val="-3"/>
          <w:sz w:val="24"/>
          <w:szCs w:val="24"/>
          <w:highlight w:val="none"/>
        </w:rPr>
        <w:t>（1）向赣榆区仲裁委员会申请仲裁。</w:t>
      </w:r>
    </w:p>
    <w:p w14:paraId="6613740B">
      <w:pPr>
        <w:spacing w:before="277"/>
        <w:rPr>
          <w:rFonts w:hint="eastAsia" w:ascii="宋体" w:hAnsi="宋体"/>
          <w:color w:val="auto"/>
          <w:sz w:val="24"/>
          <w:szCs w:val="24"/>
          <w:highlight w:val="none"/>
        </w:rPr>
      </w:pPr>
      <w:r>
        <w:rPr>
          <w:rFonts w:hint="eastAsia" w:ascii="宋体" w:hAnsi="宋体"/>
          <w:color w:val="auto"/>
          <w:spacing w:val="-2"/>
          <w:sz w:val="24"/>
          <w:szCs w:val="24"/>
          <w:highlight w:val="none"/>
        </w:rPr>
        <w:t>（2）向赣榆区人民法院提起诉讼。</w:t>
      </w:r>
    </w:p>
    <w:p w14:paraId="1357C0FC">
      <w:pPr>
        <w:spacing w:before="271"/>
        <w:rPr>
          <w:rFonts w:hint="eastAsia" w:ascii="宋体" w:hAnsi="宋体"/>
          <w:color w:val="auto"/>
          <w:sz w:val="24"/>
          <w:szCs w:val="24"/>
          <w:highlight w:val="none"/>
        </w:rPr>
      </w:pPr>
      <w:r>
        <w:rPr>
          <w:rFonts w:hint="eastAsia" w:ascii="宋体" w:hAnsi="宋体"/>
          <w:b/>
          <w:bCs/>
          <w:color w:val="auto"/>
          <w:spacing w:val="-2"/>
          <w:sz w:val="24"/>
          <w:szCs w:val="24"/>
          <w:highlight w:val="none"/>
        </w:rPr>
        <w:t>第十一条</w:t>
      </w:r>
      <w:r>
        <w:rPr>
          <w:rFonts w:hint="eastAsia" w:ascii="宋体" w:hAnsi="宋体"/>
          <w:color w:val="auto"/>
          <w:spacing w:val="-2"/>
          <w:sz w:val="24"/>
          <w:szCs w:val="24"/>
          <w:highlight w:val="none"/>
        </w:rPr>
        <w:t xml:space="preserve">  </w:t>
      </w:r>
      <w:r>
        <w:rPr>
          <w:rFonts w:hint="eastAsia" w:ascii="宋体" w:hAnsi="宋体"/>
          <w:b/>
          <w:bCs/>
          <w:color w:val="auto"/>
          <w:spacing w:val="-2"/>
          <w:sz w:val="24"/>
          <w:szCs w:val="24"/>
          <w:highlight w:val="none"/>
        </w:rPr>
        <w:t>合同附件</w:t>
      </w:r>
    </w:p>
    <w:p w14:paraId="2893481C">
      <w:pPr>
        <w:spacing w:before="278" w:line="429" w:lineRule="auto"/>
        <w:ind w:right="-95"/>
        <w:rPr>
          <w:rFonts w:hint="eastAsia" w:ascii="宋体" w:hAnsi="宋体"/>
          <w:color w:val="auto"/>
          <w:spacing w:val="-6"/>
          <w:sz w:val="24"/>
          <w:szCs w:val="24"/>
          <w:highlight w:val="none"/>
        </w:rPr>
      </w:pPr>
      <w:r>
        <w:rPr>
          <w:rFonts w:hint="eastAsia" w:ascii="宋体" w:hAnsi="宋体"/>
          <w:color w:val="auto"/>
          <w:spacing w:val="-1"/>
          <w:sz w:val="24"/>
          <w:szCs w:val="24"/>
          <w:highlight w:val="none"/>
        </w:rPr>
        <w:t>（</w:t>
      </w:r>
      <w:r>
        <w:rPr>
          <w:rFonts w:hint="eastAsia" w:ascii="宋体" w:hAnsi="宋体"/>
          <w:color w:val="auto"/>
          <w:spacing w:val="-6"/>
          <w:sz w:val="24"/>
          <w:szCs w:val="24"/>
          <w:highlight w:val="none"/>
        </w:rPr>
        <w:t>一）本项目公开招标过程中的有关文件作为本合同的附件，与本合同具有同等法律效力。如公开招标文件内容同本合同条款有不一致处，以本合同条款为准。</w:t>
      </w:r>
    </w:p>
    <w:p w14:paraId="3542155E">
      <w:pPr>
        <w:spacing w:before="278" w:line="429" w:lineRule="auto"/>
        <w:ind w:right="-95"/>
        <w:rPr>
          <w:rFonts w:hint="eastAsia" w:ascii="宋体" w:hAnsi="宋体"/>
          <w:color w:val="auto"/>
          <w:spacing w:val="-6"/>
          <w:sz w:val="24"/>
          <w:szCs w:val="24"/>
          <w:highlight w:val="none"/>
        </w:rPr>
      </w:pPr>
      <w:r>
        <w:rPr>
          <w:rFonts w:hint="eastAsia" w:ascii="宋体" w:hAnsi="宋体"/>
          <w:color w:val="auto"/>
          <w:spacing w:val="-6"/>
          <w:sz w:val="24"/>
          <w:szCs w:val="24"/>
          <w:highlight w:val="none"/>
        </w:rPr>
        <w:t>（二）对本合同的未尽事宜，可经双方协商一致后另行签署补充协议。补充协议作为本合同的组成部分，与本合同具有同等法律效力。补充协议内容与本合同不一致处，从补充协议。</w:t>
      </w:r>
    </w:p>
    <w:p w14:paraId="433A7DA8">
      <w:pPr>
        <w:rPr>
          <w:rFonts w:hint="eastAsia" w:ascii="宋体" w:hAnsi="宋体"/>
          <w:color w:val="auto"/>
          <w:sz w:val="24"/>
          <w:szCs w:val="24"/>
          <w:highlight w:val="none"/>
        </w:rPr>
      </w:pPr>
      <w:r>
        <w:rPr>
          <w:rFonts w:hint="eastAsia" w:ascii="宋体" w:hAnsi="宋体"/>
          <w:b/>
          <w:bCs/>
          <w:color w:val="auto"/>
          <w:spacing w:val="-3"/>
          <w:sz w:val="24"/>
          <w:szCs w:val="24"/>
          <w:highlight w:val="none"/>
        </w:rPr>
        <w:t>第十二条</w:t>
      </w:r>
      <w:r>
        <w:rPr>
          <w:rFonts w:hint="eastAsia" w:ascii="宋体" w:hAnsi="宋体"/>
          <w:color w:val="auto"/>
          <w:spacing w:val="-3"/>
          <w:sz w:val="24"/>
          <w:szCs w:val="24"/>
          <w:highlight w:val="none"/>
        </w:rPr>
        <w:t xml:space="preserve"> </w:t>
      </w:r>
      <w:r>
        <w:rPr>
          <w:rFonts w:hint="eastAsia" w:ascii="宋体" w:hAnsi="宋体"/>
          <w:b/>
          <w:bCs/>
          <w:color w:val="auto"/>
          <w:spacing w:val="-3"/>
          <w:sz w:val="24"/>
          <w:szCs w:val="24"/>
          <w:highlight w:val="none"/>
        </w:rPr>
        <w:t>合同生效</w:t>
      </w:r>
    </w:p>
    <w:p w14:paraId="35F36CF3">
      <w:pPr>
        <w:spacing w:before="276"/>
        <w:rPr>
          <w:rFonts w:hint="eastAsia" w:ascii="宋体" w:hAnsi="宋体"/>
          <w:color w:val="auto"/>
          <w:sz w:val="24"/>
          <w:szCs w:val="24"/>
          <w:highlight w:val="none"/>
        </w:rPr>
      </w:pPr>
      <w:r>
        <w:rPr>
          <w:rFonts w:hint="eastAsia" w:ascii="宋体" w:hAnsi="宋体"/>
          <w:color w:val="auto"/>
          <w:spacing w:val="-1"/>
          <w:sz w:val="24"/>
          <w:szCs w:val="24"/>
          <w:highlight w:val="none"/>
        </w:rPr>
        <w:t>（一） 合同经双方法定代表人或委托代理</w:t>
      </w:r>
      <w:r>
        <w:rPr>
          <w:rFonts w:hint="eastAsia" w:ascii="宋体" w:hAnsi="宋体"/>
          <w:color w:val="auto"/>
          <w:spacing w:val="-2"/>
          <w:sz w:val="24"/>
          <w:szCs w:val="24"/>
          <w:highlight w:val="none"/>
        </w:rPr>
        <w:t>人签名并加盖单位公章后生效。</w:t>
      </w:r>
    </w:p>
    <w:p w14:paraId="56A774BA">
      <w:pPr>
        <w:spacing w:before="276"/>
        <w:rPr>
          <w:rFonts w:hint="eastAsia" w:ascii="宋体" w:hAnsi="宋体"/>
          <w:color w:val="auto"/>
          <w:sz w:val="24"/>
          <w:szCs w:val="24"/>
          <w:highlight w:val="none"/>
        </w:rPr>
      </w:pPr>
      <w:r>
        <w:rPr>
          <w:rFonts w:hint="eastAsia" w:ascii="宋体" w:hAnsi="宋体"/>
          <w:color w:val="auto"/>
          <w:spacing w:val="-2"/>
          <w:sz w:val="24"/>
          <w:szCs w:val="24"/>
          <w:highlight w:val="none"/>
        </w:rPr>
        <w:t>（二）本合同未尽事宜，遵照《中华人民共和国民法典》有关条文执行。</w:t>
      </w:r>
    </w:p>
    <w:p w14:paraId="7135E43A">
      <w:pPr>
        <w:spacing w:before="271" w:line="434" w:lineRule="auto"/>
        <w:ind w:right="1129"/>
        <w:rPr>
          <w:rFonts w:hint="eastAsia" w:ascii="宋体" w:hAnsi="宋体"/>
          <w:color w:val="auto"/>
          <w:spacing w:val="-9"/>
          <w:sz w:val="24"/>
          <w:szCs w:val="24"/>
          <w:highlight w:val="none"/>
        </w:rPr>
      </w:pPr>
      <w:r>
        <w:rPr>
          <w:rFonts w:hint="eastAsia" w:ascii="宋体" w:hAnsi="宋体"/>
          <w:color w:val="auto"/>
          <w:spacing w:val="-1"/>
          <w:sz w:val="24"/>
          <w:szCs w:val="24"/>
          <w:highlight w:val="none"/>
        </w:rPr>
        <w:t>（三）本合同正本一式四份，具有同等法律效力，甲方</w:t>
      </w:r>
      <w:r>
        <w:rPr>
          <w:rFonts w:hint="eastAsia" w:ascii="宋体" w:hAnsi="宋体"/>
          <w:color w:val="auto"/>
          <w:spacing w:val="-1"/>
          <w:sz w:val="24"/>
          <w:szCs w:val="24"/>
          <w:highlight w:val="none"/>
          <w:lang w:val="en-US" w:eastAsia="zh-CN"/>
        </w:rPr>
        <w:t>贰份</w:t>
      </w:r>
      <w:r>
        <w:rPr>
          <w:rFonts w:hint="eastAsia" w:ascii="宋体" w:hAnsi="宋体"/>
          <w:color w:val="auto"/>
          <w:spacing w:val="-1"/>
          <w:sz w:val="24"/>
          <w:szCs w:val="24"/>
          <w:highlight w:val="none"/>
        </w:rPr>
        <w:t>、乙方及财政监管部</w:t>
      </w:r>
      <w:r>
        <w:rPr>
          <w:rFonts w:hint="eastAsia" w:ascii="宋体" w:hAnsi="宋体"/>
          <w:color w:val="auto"/>
          <w:spacing w:val="-9"/>
          <w:sz w:val="24"/>
          <w:szCs w:val="24"/>
          <w:highlight w:val="none"/>
        </w:rPr>
        <w:t>门各执一份。</w:t>
      </w:r>
    </w:p>
    <w:p w14:paraId="3B816B0C">
      <w:pPr>
        <w:autoSpaceDE w:val="0"/>
        <w:spacing w:line="436" w:lineRule="exact"/>
        <w:rPr>
          <w:rFonts w:hint="eastAsia" w:ascii="宋体" w:hAnsi="宋体"/>
          <w:color w:val="auto"/>
          <w:sz w:val="24"/>
          <w:szCs w:val="24"/>
          <w:highlight w:val="none"/>
        </w:rPr>
      </w:pPr>
      <w:r>
        <w:rPr>
          <w:rFonts w:hint="eastAsia" w:ascii="宋体" w:hAnsi="宋体"/>
          <w:b/>
          <w:color w:val="auto"/>
          <w:sz w:val="24"/>
          <w:szCs w:val="24"/>
          <w:highlight w:val="none"/>
        </w:rPr>
        <w:t>（四）自政府采购合同签订之日起2个工作日内，将政府采购合同在指定的媒体上公告。</w:t>
      </w:r>
      <w:r>
        <w:rPr>
          <w:rFonts w:hint="eastAsia" w:ascii="宋体" w:hAnsi="宋体"/>
          <w:color w:val="auto"/>
          <w:sz w:val="24"/>
          <w:szCs w:val="24"/>
          <w:highlight w:val="none"/>
        </w:rPr>
        <w:t xml:space="preserve">     </w:t>
      </w:r>
    </w:p>
    <w:p w14:paraId="6EF48D70">
      <w:pPr>
        <w:pStyle w:val="29"/>
        <w:widowControl w:val="0"/>
        <w:autoSpaceDE w:val="0"/>
        <w:spacing w:before="120" w:beforeAutospacing="0" w:after="120" w:afterAutospacing="0" w:line="436" w:lineRule="exact"/>
        <w:jc w:val="both"/>
        <w:rPr>
          <w:rFonts w:hint="eastAsia"/>
          <w:color w:val="auto"/>
          <w:highlight w:val="none"/>
        </w:rPr>
      </w:pPr>
      <w:r>
        <w:rPr>
          <w:rFonts w:hint="eastAsia"/>
          <w:color w:val="auto"/>
          <w:highlight w:val="none"/>
        </w:rPr>
        <w:t xml:space="preserve">甲方（公章）：                乙方（公章）： </w:t>
      </w:r>
    </w:p>
    <w:p w14:paraId="36E2F8F9">
      <w:pPr>
        <w:pStyle w:val="29"/>
        <w:widowControl w:val="0"/>
        <w:autoSpaceDE w:val="0"/>
        <w:spacing w:before="120" w:beforeAutospacing="0" w:after="120" w:afterAutospacing="0" w:line="436" w:lineRule="exact"/>
        <w:jc w:val="both"/>
        <w:rPr>
          <w:rFonts w:hint="eastAsia"/>
          <w:color w:val="auto"/>
          <w:highlight w:val="none"/>
        </w:rPr>
      </w:pPr>
      <w:r>
        <w:rPr>
          <w:rFonts w:hint="eastAsia"/>
          <w:color w:val="auto"/>
          <w:highlight w:val="none"/>
        </w:rPr>
        <w:t xml:space="preserve">地址：                     地址： </w:t>
      </w:r>
    </w:p>
    <w:p w14:paraId="3C7648E4">
      <w:pPr>
        <w:pStyle w:val="29"/>
        <w:widowControl w:val="0"/>
        <w:autoSpaceDE w:val="0"/>
        <w:spacing w:before="120" w:beforeAutospacing="0" w:after="120" w:afterAutospacing="0" w:line="436" w:lineRule="exact"/>
        <w:jc w:val="both"/>
        <w:rPr>
          <w:rFonts w:hint="eastAsia"/>
          <w:color w:val="auto"/>
          <w:highlight w:val="none"/>
        </w:rPr>
      </w:pPr>
      <w:r>
        <w:rPr>
          <w:rFonts w:hint="eastAsia"/>
          <w:color w:val="auto"/>
          <w:highlight w:val="none"/>
        </w:rPr>
        <w:t>法定代表人或授权代表                法定代表人或授权代表：</w:t>
      </w:r>
    </w:p>
    <w:p w14:paraId="20D723E7">
      <w:pPr>
        <w:pStyle w:val="29"/>
        <w:widowControl w:val="0"/>
        <w:autoSpaceDE w:val="0"/>
        <w:spacing w:before="120" w:beforeAutospacing="0" w:after="120" w:afterAutospacing="0" w:line="436" w:lineRule="exact"/>
        <w:jc w:val="both"/>
        <w:rPr>
          <w:rFonts w:hint="eastAsia"/>
          <w:color w:val="auto"/>
          <w:highlight w:val="none"/>
        </w:rPr>
      </w:pPr>
      <w:r>
        <w:rPr>
          <w:rFonts w:hint="eastAsia"/>
          <w:color w:val="auto"/>
          <w:highlight w:val="none"/>
        </w:rPr>
        <w:t xml:space="preserve">（签字或盖章）：                           （签字或盖章）： </w:t>
      </w:r>
    </w:p>
    <w:p w14:paraId="78891CEC">
      <w:pPr>
        <w:pStyle w:val="29"/>
        <w:widowControl w:val="0"/>
        <w:autoSpaceDE w:val="0"/>
        <w:spacing w:before="0" w:beforeAutospacing="0" w:after="0" w:afterAutospacing="0" w:line="436" w:lineRule="exact"/>
        <w:rPr>
          <w:rFonts w:hint="eastAsia"/>
          <w:color w:val="auto"/>
          <w:highlight w:val="none"/>
        </w:rPr>
      </w:pPr>
      <w:r>
        <w:rPr>
          <w:rFonts w:hint="eastAsia"/>
          <w:color w:val="auto"/>
          <w:highlight w:val="none"/>
        </w:rPr>
        <w:t xml:space="preserve">联系电话：                       联系电话：             </w:t>
      </w:r>
    </w:p>
    <w:p w14:paraId="08526164">
      <w:pPr>
        <w:pStyle w:val="29"/>
        <w:widowControl w:val="0"/>
        <w:autoSpaceDE w:val="0"/>
        <w:spacing w:before="0" w:beforeAutospacing="0" w:after="0" w:afterAutospacing="0" w:line="436" w:lineRule="exact"/>
        <w:rPr>
          <w:rFonts w:ascii="宋体" w:hAnsi="宋体" w:eastAsia="宋体" w:cs="宋体"/>
          <w:color w:val="auto"/>
          <w:sz w:val="24"/>
          <w:szCs w:val="24"/>
          <w:highlight w:val="none"/>
        </w:rPr>
        <w:sectPr>
          <w:headerReference r:id="rId3" w:type="default"/>
          <w:footerReference r:id="rId4" w:type="default"/>
          <w:pgSz w:w="11905" w:h="16839"/>
          <w:pgMar w:top="1440" w:right="1800" w:bottom="1440" w:left="1800" w:header="826" w:footer="748" w:gutter="0"/>
          <w:pgNumType w:fmt="decimal"/>
          <w:cols w:space="720" w:num="1"/>
        </w:sectPr>
      </w:pPr>
      <w:r>
        <w:rPr>
          <w:rFonts w:hint="eastAsia"/>
          <w:color w:val="auto"/>
          <w:highlight w:val="none"/>
        </w:rPr>
        <w:t>签订日期：   年    月   日                 签订日期：  年   月  日</w:t>
      </w:r>
    </w:p>
    <w:p w14:paraId="22FFD12F">
      <w:pPr>
        <w:pStyle w:val="14"/>
        <w:spacing w:line="436" w:lineRule="auto"/>
        <w:rPr>
          <w:color w:val="auto"/>
          <w:highlight w:val="none"/>
        </w:rPr>
      </w:pPr>
    </w:p>
    <w:p w14:paraId="585A9E5C">
      <w:pPr>
        <w:spacing w:before="78" w:line="219" w:lineRule="auto"/>
        <w:ind w:left="1925"/>
        <w:rPr>
          <w:rFonts w:ascii="宋体" w:hAnsi="宋体" w:eastAsia="宋体" w:cs="宋体"/>
          <w:color w:val="auto"/>
          <w:sz w:val="24"/>
          <w:szCs w:val="24"/>
          <w:highlight w:val="none"/>
        </w:rPr>
      </w:pPr>
      <w:r>
        <w:rPr>
          <w:rFonts w:ascii="宋体" w:hAnsi="宋体" w:eastAsia="宋体" w:cs="宋体"/>
          <w:color w:val="auto"/>
          <w:spacing w:val="-19"/>
          <w:sz w:val="24"/>
          <w:szCs w:val="24"/>
          <w:highlight w:val="none"/>
        </w:rPr>
        <w:t>附件：</w:t>
      </w:r>
    </w:p>
    <w:p w14:paraId="03ABF33B">
      <w:pPr>
        <w:spacing w:before="52"/>
        <w:rPr>
          <w:color w:val="auto"/>
          <w:highlight w:val="none"/>
        </w:rPr>
      </w:pPr>
    </w:p>
    <w:tbl>
      <w:tblPr>
        <w:tblStyle w:val="240"/>
        <w:tblW w:w="10112" w:type="dxa"/>
        <w:tblInd w:w="10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0"/>
        <w:gridCol w:w="1416"/>
        <w:gridCol w:w="5668"/>
        <w:gridCol w:w="854"/>
        <w:gridCol w:w="849"/>
        <w:gridCol w:w="855"/>
      </w:tblGrid>
      <w:tr w14:paraId="606FB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0112" w:type="dxa"/>
            <w:gridSpan w:val="6"/>
            <w:vAlign w:val="top"/>
          </w:tcPr>
          <w:p w14:paraId="18F57BBB">
            <w:pPr>
              <w:pStyle w:val="239"/>
              <w:spacing w:before="178" w:line="221" w:lineRule="auto"/>
              <w:ind w:left="3475"/>
              <w:rPr>
                <w:color w:val="auto"/>
                <w:sz w:val="21"/>
                <w:szCs w:val="21"/>
                <w:highlight w:val="none"/>
              </w:rPr>
            </w:pPr>
            <w:r>
              <w:rPr>
                <w:b/>
                <w:bCs/>
                <w:color w:val="auto"/>
                <w:spacing w:val="-1"/>
                <w:sz w:val="21"/>
                <w:szCs w:val="21"/>
                <w:highlight w:val="none"/>
              </w:rPr>
              <w:t>食堂餐饮服务月度考核表</w:t>
            </w:r>
            <w:r>
              <w:rPr>
                <w:color w:val="auto"/>
                <w:spacing w:val="-1"/>
                <w:sz w:val="21"/>
                <w:szCs w:val="21"/>
                <w:highlight w:val="none"/>
              </w:rPr>
              <w:t xml:space="preserve">          </w:t>
            </w:r>
            <w:r>
              <w:rPr>
                <w:b/>
                <w:bCs/>
                <w:color w:val="auto"/>
                <w:spacing w:val="-1"/>
                <w:sz w:val="21"/>
                <w:szCs w:val="21"/>
                <w:highlight w:val="none"/>
              </w:rPr>
              <w:t>年</w:t>
            </w:r>
            <w:r>
              <w:rPr>
                <w:color w:val="auto"/>
                <w:spacing w:val="-1"/>
                <w:sz w:val="21"/>
                <w:szCs w:val="21"/>
                <w:highlight w:val="none"/>
              </w:rPr>
              <w:t xml:space="preserve"> </w:t>
            </w:r>
            <w:r>
              <w:rPr>
                <w:b/>
                <w:bCs/>
                <w:color w:val="auto"/>
                <w:spacing w:val="-1"/>
                <w:sz w:val="21"/>
                <w:szCs w:val="21"/>
                <w:highlight w:val="none"/>
              </w:rPr>
              <w:t>月</w:t>
            </w:r>
            <w:r>
              <w:rPr>
                <w:color w:val="auto"/>
                <w:spacing w:val="48"/>
                <w:sz w:val="21"/>
                <w:szCs w:val="21"/>
                <w:highlight w:val="none"/>
              </w:rPr>
              <w:t xml:space="preserve"> </w:t>
            </w:r>
            <w:r>
              <w:rPr>
                <w:b/>
                <w:bCs/>
                <w:color w:val="auto"/>
                <w:spacing w:val="-1"/>
                <w:sz w:val="21"/>
                <w:szCs w:val="21"/>
                <w:highlight w:val="none"/>
              </w:rPr>
              <w:t>日</w:t>
            </w:r>
          </w:p>
        </w:tc>
      </w:tr>
      <w:tr w14:paraId="21493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470" w:type="dxa"/>
            <w:textDirection w:val="tbRlV"/>
            <w:vAlign w:val="top"/>
          </w:tcPr>
          <w:p w14:paraId="51843F5C">
            <w:pPr>
              <w:pStyle w:val="239"/>
              <w:spacing w:before="124" w:line="211" w:lineRule="auto"/>
              <w:ind w:left="107"/>
              <w:rPr>
                <w:color w:val="auto"/>
                <w:sz w:val="21"/>
                <w:szCs w:val="21"/>
                <w:highlight w:val="none"/>
              </w:rPr>
            </w:pPr>
            <w:r>
              <w:rPr>
                <w:b/>
                <w:bCs/>
                <w:color w:val="auto"/>
                <w:spacing w:val="-2"/>
                <w:sz w:val="21"/>
                <w:szCs w:val="21"/>
                <w:highlight w:val="none"/>
              </w:rPr>
              <w:t>序</w:t>
            </w:r>
            <w:r>
              <w:rPr>
                <w:color w:val="auto"/>
                <w:spacing w:val="-4"/>
                <w:sz w:val="21"/>
                <w:szCs w:val="21"/>
                <w:highlight w:val="none"/>
              </w:rPr>
              <w:t xml:space="preserve"> </w:t>
            </w:r>
            <w:r>
              <w:rPr>
                <w:b/>
                <w:bCs/>
                <w:color w:val="auto"/>
                <w:spacing w:val="-2"/>
                <w:sz w:val="21"/>
                <w:szCs w:val="21"/>
                <w:highlight w:val="none"/>
              </w:rPr>
              <w:t>号</w:t>
            </w:r>
          </w:p>
        </w:tc>
        <w:tc>
          <w:tcPr>
            <w:tcW w:w="1416" w:type="dxa"/>
            <w:vAlign w:val="top"/>
          </w:tcPr>
          <w:p w14:paraId="44031B46">
            <w:pPr>
              <w:pStyle w:val="239"/>
              <w:spacing w:before="260" w:line="221" w:lineRule="auto"/>
              <w:ind w:left="286"/>
              <w:rPr>
                <w:color w:val="auto"/>
                <w:sz w:val="21"/>
                <w:szCs w:val="21"/>
                <w:highlight w:val="none"/>
              </w:rPr>
            </w:pPr>
            <w:r>
              <w:rPr>
                <w:b/>
                <w:bCs/>
                <w:color w:val="auto"/>
                <w:spacing w:val="-3"/>
                <w:sz w:val="21"/>
                <w:szCs w:val="21"/>
                <w:highlight w:val="none"/>
              </w:rPr>
              <w:t>考核项目</w:t>
            </w:r>
          </w:p>
        </w:tc>
        <w:tc>
          <w:tcPr>
            <w:tcW w:w="5668" w:type="dxa"/>
            <w:vAlign w:val="top"/>
          </w:tcPr>
          <w:p w14:paraId="7CD96C84">
            <w:pPr>
              <w:pStyle w:val="239"/>
              <w:spacing w:before="260" w:line="221" w:lineRule="auto"/>
              <w:ind w:left="2102"/>
              <w:rPr>
                <w:color w:val="auto"/>
                <w:sz w:val="21"/>
                <w:szCs w:val="21"/>
                <w:highlight w:val="none"/>
              </w:rPr>
            </w:pPr>
            <w:r>
              <w:rPr>
                <w:b/>
                <w:bCs/>
                <w:color w:val="auto"/>
                <w:spacing w:val="-15"/>
                <w:sz w:val="21"/>
                <w:szCs w:val="21"/>
                <w:highlight w:val="none"/>
              </w:rPr>
              <w:t>考</w:t>
            </w:r>
            <w:r>
              <w:rPr>
                <w:color w:val="auto"/>
                <w:spacing w:val="6"/>
                <w:sz w:val="21"/>
                <w:szCs w:val="21"/>
                <w:highlight w:val="none"/>
              </w:rPr>
              <w:t xml:space="preserve">  </w:t>
            </w:r>
            <w:r>
              <w:rPr>
                <w:b/>
                <w:bCs/>
                <w:color w:val="auto"/>
                <w:spacing w:val="-15"/>
                <w:sz w:val="21"/>
                <w:szCs w:val="21"/>
                <w:highlight w:val="none"/>
              </w:rPr>
              <w:t>核</w:t>
            </w:r>
            <w:r>
              <w:rPr>
                <w:color w:val="auto"/>
                <w:spacing w:val="18"/>
                <w:sz w:val="21"/>
                <w:szCs w:val="21"/>
                <w:highlight w:val="none"/>
              </w:rPr>
              <w:t xml:space="preserve">  </w:t>
            </w:r>
            <w:r>
              <w:rPr>
                <w:b/>
                <w:bCs/>
                <w:color w:val="auto"/>
                <w:spacing w:val="-15"/>
                <w:sz w:val="21"/>
                <w:szCs w:val="21"/>
                <w:highlight w:val="none"/>
              </w:rPr>
              <w:t>内</w:t>
            </w:r>
            <w:r>
              <w:rPr>
                <w:color w:val="auto"/>
                <w:spacing w:val="3"/>
                <w:sz w:val="21"/>
                <w:szCs w:val="21"/>
                <w:highlight w:val="none"/>
              </w:rPr>
              <w:t xml:space="preserve">  </w:t>
            </w:r>
            <w:r>
              <w:rPr>
                <w:b/>
                <w:bCs/>
                <w:color w:val="auto"/>
                <w:spacing w:val="-15"/>
                <w:sz w:val="21"/>
                <w:szCs w:val="21"/>
                <w:highlight w:val="none"/>
              </w:rPr>
              <w:t>容</w:t>
            </w:r>
          </w:p>
        </w:tc>
        <w:tc>
          <w:tcPr>
            <w:tcW w:w="854" w:type="dxa"/>
            <w:vAlign w:val="top"/>
          </w:tcPr>
          <w:p w14:paraId="62C949DF">
            <w:pPr>
              <w:pStyle w:val="239"/>
              <w:spacing w:before="261" w:line="221" w:lineRule="auto"/>
              <w:ind w:left="118"/>
              <w:rPr>
                <w:color w:val="auto"/>
                <w:sz w:val="21"/>
                <w:szCs w:val="21"/>
                <w:highlight w:val="none"/>
              </w:rPr>
            </w:pPr>
            <w:r>
              <w:rPr>
                <w:b/>
                <w:bCs/>
                <w:color w:val="auto"/>
                <w:spacing w:val="-4"/>
                <w:sz w:val="21"/>
                <w:szCs w:val="21"/>
                <w:highlight w:val="none"/>
              </w:rPr>
              <w:t>标准分</w:t>
            </w:r>
          </w:p>
        </w:tc>
        <w:tc>
          <w:tcPr>
            <w:tcW w:w="849" w:type="dxa"/>
            <w:vAlign w:val="top"/>
          </w:tcPr>
          <w:p w14:paraId="19049E36">
            <w:pPr>
              <w:pStyle w:val="239"/>
              <w:spacing w:before="106" w:line="221" w:lineRule="auto"/>
              <w:ind w:left="219"/>
              <w:rPr>
                <w:color w:val="auto"/>
                <w:sz w:val="21"/>
                <w:szCs w:val="21"/>
                <w:highlight w:val="none"/>
              </w:rPr>
            </w:pPr>
            <w:r>
              <w:rPr>
                <w:b/>
                <w:bCs/>
                <w:color w:val="auto"/>
                <w:spacing w:val="-4"/>
                <w:sz w:val="21"/>
                <w:szCs w:val="21"/>
                <w:highlight w:val="none"/>
              </w:rPr>
              <w:t>考核</w:t>
            </w:r>
          </w:p>
          <w:p w14:paraId="0DB8B83F">
            <w:pPr>
              <w:pStyle w:val="239"/>
              <w:spacing w:before="60" w:line="221" w:lineRule="auto"/>
              <w:ind w:left="220"/>
              <w:rPr>
                <w:color w:val="auto"/>
                <w:sz w:val="21"/>
                <w:szCs w:val="21"/>
                <w:highlight w:val="none"/>
              </w:rPr>
            </w:pPr>
            <w:r>
              <w:rPr>
                <w:b/>
                <w:bCs/>
                <w:color w:val="auto"/>
                <w:spacing w:val="-4"/>
                <w:sz w:val="21"/>
                <w:szCs w:val="21"/>
                <w:highlight w:val="none"/>
              </w:rPr>
              <w:t>得分</w:t>
            </w:r>
          </w:p>
        </w:tc>
        <w:tc>
          <w:tcPr>
            <w:tcW w:w="855" w:type="dxa"/>
            <w:vAlign w:val="top"/>
          </w:tcPr>
          <w:p w14:paraId="273C0353">
            <w:pPr>
              <w:pStyle w:val="239"/>
              <w:spacing w:before="107" w:line="222" w:lineRule="auto"/>
              <w:ind w:left="169"/>
              <w:rPr>
                <w:color w:val="auto"/>
                <w:sz w:val="21"/>
                <w:szCs w:val="21"/>
                <w:highlight w:val="none"/>
              </w:rPr>
            </w:pPr>
            <w:r>
              <w:rPr>
                <w:b/>
                <w:bCs/>
                <w:color w:val="auto"/>
                <w:spacing w:val="-7"/>
                <w:sz w:val="21"/>
                <w:szCs w:val="21"/>
                <w:highlight w:val="none"/>
              </w:rPr>
              <w:t>备</w:t>
            </w:r>
            <w:r>
              <w:rPr>
                <w:color w:val="auto"/>
                <w:spacing w:val="9"/>
                <w:sz w:val="21"/>
                <w:szCs w:val="21"/>
                <w:highlight w:val="none"/>
              </w:rPr>
              <w:t xml:space="preserve"> </w:t>
            </w:r>
            <w:r>
              <w:rPr>
                <w:b/>
                <w:bCs/>
                <w:color w:val="auto"/>
                <w:spacing w:val="-7"/>
                <w:sz w:val="21"/>
                <w:szCs w:val="21"/>
                <w:highlight w:val="none"/>
              </w:rPr>
              <w:t>注</w:t>
            </w:r>
          </w:p>
          <w:p w14:paraId="3579C7C5">
            <w:pPr>
              <w:pStyle w:val="239"/>
              <w:spacing w:before="58" w:line="221" w:lineRule="auto"/>
              <w:ind w:left="174"/>
              <w:rPr>
                <w:color w:val="auto"/>
                <w:sz w:val="21"/>
                <w:szCs w:val="21"/>
                <w:highlight w:val="none"/>
              </w:rPr>
            </w:pPr>
            <w:r>
              <w:rPr>
                <w:b/>
                <w:bCs/>
                <w:color w:val="auto"/>
                <w:spacing w:val="-7"/>
                <w:sz w:val="21"/>
                <w:szCs w:val="21"/>
                <w:highlight w:val="none"/>
              </w:rPr>
              <w:t>说</w:t>
            </w:r>
            <w:r>
              <w:rPr>
                <w:color w:val="auto"/>
                <w:spacing w:val="29"/>
                <w:sz w:val="21"/>
                <w:szCs w:val="21"/>
                <w:highlight w:val="none"/>
              </w:rPr>
              <w:t xml:space="preserve"> </w:t>
            </w:r>
            <w:r>
              <w:rPr>
                <w:b/>
                <w:bCs/>
                <w:color w:val="auto"/>
                <w:spacing w:val="-7"/>
                <w:sz w:val="21"/>
                <w:szCs w:val="21"/>
                <w:highlight w:val="none"/>
              </w:rPr>
              <w:t>明</w:t>
            </w:r>
          </w:p>
        </w:tc>
      </w:tr>
      <w:tr w14:paraId="3E5A5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470" w:type="dxa"/>
            <w:vAlign w:val="top"/>
          </w:tcPr>
          <w:p w14:paraId="1FDB0569">
            <w:pPr>
              <w:spacing w:line="339" w:lineRule="auto"/>
              <w:rPr>
                <w:rFonts w:ascii="Arial"/>
                <w:color w:val="auto"/>
                <w:sz w:val="21"/>
                <w:highlight w:val="none"/>
              </w:rPr>
            </w:pPr>
          </w:p>
          <w:p w14:paraId="1FB1E96B">
            <w:pPr>
              <w:spacing w:before="60" w:line="236" w:lineRule="auto"/>
              <w:ind w:left="2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1416" w:type="dxa"/>
            <w:vAlign w:val="top"/>
          </w:tcPr>
          <w:p w14:paraId="45014DF8">
            <w:pPr>
              <w:spacing w:line="291" w:lineRule="auto"/>
              <w:rPr>
                <w:rFonts w:ascii="Arial"/>
                <w:color w:val="auto"/>
                <w:sz w:val="21"/>
                <w:highlight w:val="none"/>
              </w:rPr>
            </w:pPr>
          </w:p>
          <w:p w14:paraId="06C800CD">
            <w:pPr>
              <w:pStyle w:val="239"/>
              <w:spacing w:before="68" w:line="221" w:lineRule="auto"/>
              <w:ind w:left="296"/>
              <w:rPr>
                <w:color w:val="auto"/>
                <w:sz w:val="21"/>
                <w:szCs w:val="21"/>
                <w:highlight w:val="none"/>
              </w:rPr>
            </w:pPr>
            <w:r>
              <w:rPr>
                <w:color w:val="auto"/>
                <w:spacing w:val="-2"/>
                <w:sz w:val="21"/>
                <w:szCs w:val="21"/>
                <w:highlight w:val="none"/>
              </w:rPr>
              <w:t>劳动纪律</w:t>
            </w:r>
          </w:p>
        </w:tc>
        <w:tc>
          <w:tcPr>
            <w:tcW w:w="5668" w:type="dxa"/>
            <w:shd w:val="clear" w:color="auto" w:fill="FFFFFF"/>
            <w:vAlign w:val="top"/>
          </w:tcPr>
          <w:p w14:paraId="01951821">
            <w:pPr>
              <w:pStyle w:val="239"/>
              <w:spacing w:before="50" w:line="258" w:lineRule="auto"/>
              <w:ind w:left="117" w:right="99" w:hanging="2"/>
              <w:jc w:val="both"/>
              <w:rPr>
                <w:color w:val="auto"/>
                <w:sz w:val="21"/>
                <w:szCs w:val="21"/>
                <w:highlight w:val="none"/>
              </w:rPr>
            </w:pPr>
            <w:r>
              <w:rPr>
                <w:color w:val="auto"/>
                <w:spacing w:val="-1"/>
                <w:sz w:val="21"/>
                <w:szCs w:val="21"/>
                <w:highlight w:val="none"/>
              </w:rPr>
              <w:t>严格按照食堂管理制度，按时打指纹卡上下班，当日工作当日完成，上班时间严禁做与本职工作无关事项，每违反一次</w:t>
            </w:r>
            <w:r>
              <w:rPr>
                <w:color w:val="auto"/>
                <w:spacing w:val="-7"/>
                <w:sz w:val="21"/>
                <w:szCs w:val="21"/>
                <w:highlight w:val="none"/>
              </w:rPr>
              <w:t>扣</w:t>
            </w:r>
            <w:r>
              <w:rPr>
                <w:color w:val="auto"/>
                <w:spacing w:val="-40"/>
                <w:sz w:val="21"/>
                <w:szCs w:val="21"/>
                <w:highlight w:val="none"/>
              </w:rPr>
              <w:t xml:space="preserve"> </w:t>
            </w:r>
            <w:r>
              <w:rPr>
                <w:rFonts w:ascii="Times New Roman" w:hAnsi="Times New Roman" w:eastAsia="Times New Roman" w:cs="Times New Roman"/>
                <w:color w:val="auto"/>
                <w:spacing w:val="-7"/>
                <w:sz w:val="21"/>
                <w:szCs w:val="21"/>
                <w:highlight w:val="none"/>
              </w:rPr>
              <w:t>0.5</w:t>
            </w:r>
            <w:r>
              <w:rPr>
                <w:rFonts w:ascii="Times New Roman" w:hAnsi="Times New Roman" w:eastAsia="Times New Roman" w:cs="Times New Roman"/>
                <w:color w:val="auto"/>
                <w:spacing w:val="11"/>
                <w:sz w:val="21"/>
                <w:szCs w:val="21"/>
                <w:highlight w:val="none"/>
              </w:rPr>
              <w:t xml:space="preserve"> </w:t>
            </w:r>
            <w:r>
              <w:rPr>
                <w:color w:val="auto"/>
                <w:spacing w:val="-7"/>
                <w:sz w:val="21"/>
                <w:szCs w:val="21"/>
                <w:highlight w:val="none"/>
              </w:rPr>
              <w:t>分。</w:t>
            </w:r>
          </w:p>
        </w:tc>
        <w:tc>
          <w:tcPr>
            <w:tcW w:w="854" w:type="dxa"/>
            <w:vAlign w:val="top"/>
          </w:tcPr>
          <w:p w14:paraId="19FE7FFD">
            <w:pPr>
              <w:spacing w:line="338" w:lineRule="auto"/>
              <w:rPr>
                <w:rFonts w:ascii="Arial"/>
                <w:color w:val="auto"/>
                <w:sz w:val="21"/>
                <w:highlight w:val="none"/>
              </w:rPr>
            </w:pPr>
          </w:p>
          <w:p w14:paraId="283E7ED3">
            <w:pPr>
              <w:spacing w:before="61"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30B5E6C9">
            <w:pPr>
              <w:rPr>
                <w:rFonts w:ascii="Arial"/>
                <w:color w:val="auto"/>
                <w:sz w:val="21"/>
                <w:highlight w:val="none"/>
              </w:rPr>
            </w:pPr>
          </w:p>
        </w:tc>
        <w:tc>
          <w:tcPr>
            <w:tcW w:w="855" w:type="dxa"/>
            <w:vAlign w:val="top"/>
          </w:tcPr>
          <w:p w14:paraId="623CF549">
            <w:pPr>
              <w:rPr>
                <w:rFonts w:ascii="Arial"/>
                <w:color w:val="auto"/>
                <w:sz w:val="21"/>
                <w:highlight w:val="none"/>
              </w:rPr>
            </w:pPr>
          </w:p>
        </w:tc>
      </w:tr>
      <w:tr w14:paraId="48B4D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470" w:type="dxa"/>
            <w:vAlign w:val="top"/>
          </w:tcPr>
          <w:p w14:paraId="17B7813C">
            <w:pPr>
              <w:spacing w:before="247" w:line="236" w:lineRule="auto"/>
              <w:ind w:left="18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1416" w:type="dxa"/>
            <w:vAlign w:val="top"/>
          </w:tcPr>
          <w:p w14:paraId="1E93BC1A">
            <w:pPr>
              <w:pStyle w:val="239"/>
              <w:spacing w:before="208" w:line="221" w:lineRule="auto"/>
              <w:ind w:left="307"/>
              <w:rPr>
                <w:color w:val="auto"/>
                <w:sz w:val="21"/>
                <w:szCs w:val="21"/>
                <w:highlight w:val="none"/>
              </w:rPr>
            </w:pPr>
            <w:r>
              <w:rPr>
                <w:color w:val="auto"/>
                <w:spacing w:val="-4"/>
                <w:sz w:val="21"/>
                <w:szCs w:val="21"/>
                <w:highlight w:val="none"/>
              </w:rPr>
              <w:t>区域卫生</w:t>
            </w:r>
          </w:p>
        </w:tc>
        <w:tc>
          <w:tcPr>
            <w:tcW w:w="5668" w:type="dxa"/>
            <w:shd w:val="clear" w:color="auto" w:fill="FFFFFF"/>
            <w:vAlign w:val="top"/>
          </w:tcPr>
          <w:p w14:paraId="17BD67C5">
            <w:pPr>
              <w:pStyle w:val="239"/>
              <w:spacing w:before="49" w:line="250" w:lineRule="auto"/>
              <w:ind w:left="119" w:right="99" w:hanging="5"/>
              <w:rPr>
                <w:color w:val="auto"/>
                <w:sz w:val="21"/>
                <w:szCs w:val="21"/>
                <w:highlight w:val="none"/>
              </w:rPr>
            </w:pPr>
            <w:r>
              <w:rPr>
                <w:color w:val="auto"/>
                <w:spacing w:val="-7"/>
                <w:sz w:val="21"/>
                <w:szCs w:val="21"/>
                <w:highlight w:val="none"/>
              </w:rPr>
              <w:t>所负责区域的卫生要时刻做到干净、整洁，</w:t>
            </w:r>
            <w:r>
              <w:rPr>
                <w:color w:val="auto"/>
                <w:spacing w:val="64"/>
                <w:sz w:val="21"/>
                <w:szCs w:val="21"/>
                <w:highlight w:val="none"/>
              </w:rPr>
              <w:t xml:space="preserve"> </w:t>
            </w:r>
            <w:r>
              <w:rPr>
                <w:color w:val="auto"/>
                <w:spacing w:val="-7"/>
                <w:sz w:val="21"/>
                <w:szCs w:val="21"/>
                <w:highlight w:val="none"/>
              </w:rPr>
              <w:t>设备设施要摆放</w:t>
            </w:r>
            <w:r>
              <w:rPr>
                <w:color w:val="auto"/>
                <w:spacing w:val="-1"/>
                <w:sz w:val="21"/>
                <w:szCs w:val="21"/>
                <w:highlight w:val="none"/>
              </w:rPr>
              <w:t>到固定位置，未按要求达标者每次扣</w:t>
            </w:r>
            <w:r>
              <w:rPr>
                <w:color w:val="auto"/>
                <w:spacing w:val="-3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w:t>
            </w:r>
          </w:p>
        </w:tc>
        <w:tc>
          <w:tcPr>
            <w:tcW w:w="854" w:type="dxa"/>
            <w:shd w:val="clear" w:color="auto" w:fill="FFFFFF"/>
            <w:vAlign w:val="top"/>
          </w:tcPr>
          <w:p w14:paraId="0509A8C5">
            <w:pPr>
              <w:spacing w:before="247"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335C9BAA">
            <w:pPr>
              <w:rPr>
                <w:rFonts w:ascii="Arial"/>
                <w:color w:val="auto"/>
                <w:sz w:val="21"/>
                <w:highlight w:val="none"/>
              </w:rPr>
            </w:pPr>
          </w:p>
        </w:tc>
        <w:tc>
          <w:tcPr>
            <w:tcW w:w="855" w:type="dxa"/>
            <w:vAlign w:val="top"/>
          </w:tcPr>
          <w:p w14:paraId="573DFBE6">
            <w:pPr>
              <w:rPr>
                <w:rFonts w:ascii="Arial"/>
                <w:color w:val="auto"/>
                <w:sz w:val="21"/>
                <w:highlight w:val="none"/>
              </w:rPr>
            </w:pPr>
          </w:p>
        </w:tc>
      </w:tr>
      <w:tr w14:paraId="7F75D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470" w:type="dxa"/>
            <w:vAlign w:val="top"/>
          </w:tcPr>
          <w:p w14:paraId="5A62AFC9">
            <w:pPr>
              <w:spacing w:line="339" w:lineRule="auto"/>
              <w:rPr>
                <w:rFonts w:ascii="Arial"/>
                <w:color w:val="auto"/>
                <w:sz w:val="21"/>
                <w:highlight w:val="none"/>
              </w:rPr>
            </w:pPr>
          </w:p>
          <w:p w14:paraId="651FA049">
            <w:pPr>
              <w:spacing w:before="60" w:line="234" w:lineRule="auto"/>
              <w:ind w:left="19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1416" w:type="dxa"/>
            <w:vAlign w:val="top"/>
          </w:tcPr>
          <w:p w14:paraId="21EBCEB1">
            <w:pPr>
              <w:spacing w:line="292" w:lineRule="auto"/>
              <w:rPr>
                <w:rFonts w:ascii="Arial"/>
                <w:color w:val="auto"/>
                <w:sz w:val="21"/>
                <w:highlight w:val="none"/>
              </w:rPr>
            </w:pPr>
          </w:p>
          <w:p w14:paraId="3E20391B">
            <w:pPr>
              <w:pStyle w:val="239"/>
              <w:spacing w:before="68" w:line="221" w:lineRule="auto"/>
              <w:ind w:left="294"/>
              <w:rPr>
                <w:color w:val="auto"/>
                <w:sz w:val="21"/>
                <w:szCs w:val="21"/>
                <w:highlight w:val="none"/>
              </w:rPr>
            </w:pPr>
            <w:r>
              <w:rPr>
                <w:color w:val="auto"/>
                <w:spacing w:val="-2"/>
                <w:sz w:val="21"/>
                <w:szCs w:val="21"/>
                <w:highlight w:val="none"/>
              </w:rPr>
              <w:t>工作态度</w:t>
            </w:r>
          </w:p>
        </w:tc>
        <w:tc>
          <w:tcPr>
            <w:tcW w:w="5668" w:type="dxa"/>
            <w:vAlign w:val="top"/>
          </w:tcPr>
          <w:p w14:paraId="1923490D">
            <w:pPr>
              <w:pStyle w:val="239"/>
              <w:spacing w:before="50" w:line="258" w:lineRule="auto"/>
              <w:ind w:left="113" w:right="24"/>
              <w:jc w:val="both"/>
              <w:rPr>
                <w:color w:val="auto"/>
                <w:sz w:val="21"/>
                <w:szCs w:val="21"/>
                <w:highlight w:val="none"/>
              </w:rPr>
            </w:pPr>
            <w:r>
              <w:rPr>
                <w:color w:val="auto"/>
                <w:spacing w:val="-6"/>
                <w:sz w:val="21"/>
                <w:szCs w:val="21"/>
                <w:highlight w:val="none"/>
              </w:rPr>
              <w:t>包含：服务态度，工作表现及团体合作，应做到礼貌、勤勉、</w:t>
            </w:r>
            <w:r>
              <w:rPr>
                <w:color w:val="auto"/>
                <w:spacing w:val="-1"/>
                <w:sz w:val="21"/>
                <w:szCs w:val="21"/>
                <w:highlight w:val="none"/>
              </w:rPr>
              <w:t>积极主动、认真负责，未按要求达标者每次扣</w:t>
            </w:r>
            <w:r>
              <w:rPr>
                <w:color w:val="auto"/>
                <w:spacing w:val="-3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w:t>
            </w:r>
            <w:r>
              <w:rPr>
                <w:rFonts w:ascii="Times New Roman" w:hAnsi="Times New Roman" w:eastAsia="Times New Roman" w:cs="Times New Roman"/>
                <w:color w:val="auto"/>
                <w:spacing w:val="-1"/>
                <w:sz w:val="21"/>
                <w:szCs w:val="21"/>
                <w:highlight w:val="none"/>
              </w:rPr>
              <w:t>,</w:t>
            </w:r>
            <w:r>
              <w:rPr>
                <w:color w:val="auto"/>
                <w:spacing w:val="-1"/>
                <w:sz w:val="21"/>
                <w:szCs w:val="21"/>
                <w:highlight w:val="none"/>
              </w:rPr>
              <w:t>被服务</w:t>
            </w:r>
            <w:r>
              <w:rPr>
                <w:color w:val="auto"/>
                <w:spacing w:val="-2"/>
                <w:sz w:val="21"/>
                <w:szCs w:val="21"/>
                <w:highlight w:val="none"/>
                <w:shd w:val="clear" w:fill="FFFFFE"/>
              </w:rPr>
              <w:t>对象投诉的，每次扣</w:t>
            </w:r>
            <w:r>
              <w:rPr>
                <w:color w:val="auto"/>
                <w:spacing w:val="-33"/>
                <w:sz w:val="21"/>
                <w:szCs w:val="21"/>
                <w:highlight w:val="none"/>
                <w:shd w:val="clear" w:fill="FFFFFE"/>
              </w:rPr>
              <w:t xml:space="preserve"> </w:t>
            </w:r>
            <w:r>
              <w:rPr>
                <w:rFonts w:ascii="Times New Roman" w:hAnsi="Times New Roman" w:eastAsia="Times New Roman" w:cs="Times New Roman"/>
                <w:color w:val="auto"/>
                <w:spacing w:val="-2"/>
                <w:sz w:val="21"/>
                <w:szCs w:val="21"/>
                <w:highlight w:val="none"/>
                <w:shd w:val="clear" w:fill="FFFFFE"/>
              </w:rPr>
              <w:t xml:space="preserve">2 </w:t>
            </w:r>
            <w:r>
              <w:rPr>
                <w:color w:val="auto"/>
                <w:spacing w:val="-2"/>
                <w:sz w:val="21"/>
                <w:szCs w:val="21"/>
                <w:highlight w:val="none"/>
                <w:shd w:val="clear" w:fill="FFFFFE"/>
              </w:rPr>
              <w:t>分</w:t>
            </w:r>
            <w:r>
              <w:rPr>
                <w:color w:val="auto"/>
                <w:sz w:val="21"/>
                <w:szCs w:val="21"/>
                <w:highlight w:val="none"/>
                <w:shd w:val="clear" w:fill="FFFFFE"/>
              </w:rPr>
              <w:t xml:space="preserve">                              </w:t>
            </w:r>
          </w:p>
        </w:tc>
        <w:tc>
          <w:tcPr>
            <w:tcW w:w="854" w:type="dxa"/>
            <w:vAlign w:val="top"/>
          </w:tcPr>
          <w:p w14:paraId="49457EFB">
            <w:pPr>
              <w:spacing w:line="339" w:lineRule="auto"/>
              <w:rPr>
                <w:rFonts w:ascii="Arial"/>
                <w:color w:val="auto"/>
                <w:sz w:val="21"/>
                <w:highlight w:val="none"/>
              </w:rPr>
            </w:pPr>
          </w:p>
          <w:p w14:paraId="3FA0566F">
            <w:pPr>
              <w:spacing w:before="6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712ABC79">
            <w:pPr>
              <w:rPr>
                <w:rFonts w:ascii="Arial"/>
                <w:color w:val="auto"/>
                <w:sz w:val="21"/>
                <w:highlight w:val="none"/>
              </w:rPr>
            </w:pPr>
          </w:p>
        </w:tc>
        <w:tc>
          <w:tcPr>
            <w:tcW w:w="855" w:type="dxa"/>
            <w:vAlign w:val="top"/>
          </w:tcPr>
          <w:p w14:paraId="57D190C6">
            <w:pPr>
              <w:rPr>
                <w:rFonts w:ascii="Arial"/>
                <w:color w:val="auto"/>
                <w:sz w:val="21"/>
                <w:highlight w:val="none"/>
              </w:rPr>
            </w:pPr>
          </w:p>
        </w:tc>
      </w:tr>
      <w:tr w14:paraId="33BC1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470" w:type="dxa"/>
            <w:vAlign w:val="top"/>
          </w:tcPr>
          <w:p w14:paraId="5B327879">
            <w:pPr>
              <w:spacing w:line="263" w:lineRule="auto"/>
              <w:rPr>
                <w:rFonts w:ascii="Arial"/>
                <w:color w:val="auto"/>
                <w:sz w:val="21"/>
                <w:highlight w:val="none"/>
              </w:rPr>
            </w:pPr>
          </w:p>
          <w:p w14:paraId="1194FD61">
            <w:pPr>
              <w:spacing w:before="60" w:line="236" w:lineRule="auto"/>
              <w:ind w:left="18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1416" w:type="dxa"/>
            <w:vAlign w:val="top"/>
          </w:tcPr>
          <w:p w14:paraId="7A9C4999">
            <w:pPr>
              <w:pStyle w:val="239"/>
              <w:spacing w:before="285" w:line="221" w:lineRule="auto"/>
              <w:ind w:left="397"/>
              <w:rPr>
                <w:color w:val="auto"/>
                <w:sz w:val="21"/>
                <w:szCs w:val="21"/>
                <w:highlight w:val="none"/>
              </w:rPr>
            </w:pPr>
            <w:r>
              <w:rPr>
                <w:color w:val="auto"/>
                <w:spacing w:val="-2"/>
                <w:sz w:val="21"/>
                <w:szCs w:val="21"/>
                <w:highlight w:val="none"/>
              </w:rPr>
              <w:t>执行力</w:t>
            </w:r>
          </w:p>
        </w:tc>
        <w:tc>
          <w:tcPr>
            <w:tcW w:w="5668" w:type="dxa"/>
            <w:shd w:val="clear" w:color="auto" w:fill="FFFFFF"/>
            <w:vAlign w:val="top"/>
          </w:tcPr>
          <w:p w14:paraId="6605FD5C">
            <w:pPr>
              <w:pStyle w:val="239"/>
              <w:spacing w:before="127" w:line="283" w:lineRule="auto"/>
              <w:ind w:left="115" w:right="108"/>
              <w:rPr>
                <w:color w:val="auto"/>
                <w:sz w:val="21"/>
                <w:szCs w:val="21"/>
                <w:highlight w:val="none"/>
              </w:rPr>
            </w:pPr>
            <w:r>
              <w:rPr>
                <w:color w:val="auto"/>
                <w:spacing w:val="-1"/>
                <w:sz w:val="21"/>
                <w:szCs w:val="21"/>
                <w:highlight w:val="none"/>
              </w:rPr>
              <w:t>上级工作安排，不得推诿或拒绝执行，未按要求完成，每违反一次扣</w:t>
            </w:r>
            <w:r>
              <w:rPr>
                <w:color w:val="auto"/>
                <w:spacing w:val="-38"/>
                <w:sz w:val="21"/>
                <w:szCs w:val="21"/>
                <w:highlight w:val="none"/>
              </w:rPr>
              <w:t xml:space="preserve"> </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分，拒绝执行扣</w:t>
            </w:r>
            <w:r>
              <w:rPr>
                <w:color w:val="auto"/>
                <w:spacing w:val="-45"/>
                <w:sz w:val="21"/>
                <w:szCs w:val="21"/>
                <w:highlight w:val="none"/>
              </w:rPr>
              <w:t xml:space="preserve"> </w:t>
            </w:r>
            <w:r>
              <w:rPr>
                <w:rFonts w:ascii="Times New Roman" w:hAnsi="Times New Roman" w:eastAsia="Times New Roman" w:cs="Times New Roman"/>
                <w:color w:val="auto"/>
                <w:spacing w:val="-1"/>
                <w:sz w:val="21"/>
                <w:szCs w:val="21"/>
                <w:highlight w:val="none"/>
              </w:rPr>
              <w:t xml:space="preserve">5 </w:t>
            </w:r>
            <w:r>
              <w:rPr>
                <w:color w:val="auto"/>
                <w:spacing w:val="-1"/>
                <w:sz w:val="21"/>
                <w:szCs w:val="21"/>
                <w:highlight w:val="none"/>
              </w:rPr>
              <w:t>分</w:t>
            </w:r>
          </w:p>
        </w:tc>
        <w:tc>
          <w:tcPr>
            <w:tcW w:w="854" w:type="dxa"/>
            <w:vAlign w:val="top"/>
          </w:tcPr>
          <w:p w14:paraId="0A46AEA5">
            <w:pPr>
              <w:spacing w:line="262" w:lineRule="auto"/>
              <w:rPr>
                <w:rFonts w:ascii="Arial"/>
                <w:color w:val="auto"/>
                <w:sz w:val="21"/>
                <w:highlight w:val="none"/>
              </w:rPr>
            </w:pPr>
          </w:p>
          <w:p w14:paraId="42C287E1">
            <w:pPr>
              <w:spacing w:before="61"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72EE61BF">
            <w:pPr>
              <w:rPr>
                <w:rFonts w:ascii="Arial"/>
                <w:color w:val="auto"/>
                <w:sz w:val="21"/>
                <w:highlight w:val="none"/>
              </w:rPr>
            </w:pPr>
          </w:p>
        </w:tc>
        <w:tc>
          <w:tcPr>
            <w:tcW w:w="855" w:type="dxa"/>
            <w:vAlign w:val="top"/>
          </w:tcPr>
          <w:p w14:paraId="3E9C5457">
            <w:pPr>
              <w:rPr>
                <w:rFonts w:ascii="Arial"/>
                <w:color w:val="auto"/>
                <w:sz w:val="21"/>
                <w:highlight w:val="none"/>
              </w:rPr>
            </w:pPr>
          </w:p>
        </w:tc>
      </w:tr>
      <w:tr w14:paraId="26931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470" w:type="dxa"/>
            <w:vAlign w:val="top"/>
          </w:tcPr>
          <w:p w14:paraId="620F80CC">
            <w:pPr>
              <w:spacing w:before="243" w:line="234" w:lineRule="auto"/>
              <w:ind w:left="19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1416" w:type="dxa"/>
            <w:vAlign w:val="top"/>
          </w:tcPr>
          <w:p w14:paraId="37426808">
            <w:pPr>
              <w:pStyle w:val="239"/>
              <w:spacing w:before="51" w:line="249" w:lineRule="auto"/>
              <w:ind w:left="606" w:right="177" w:hanging="417"/>
              <w:rPr>
                <w:color w:val="auto"/>
                <w:sz w:val="21"/>
                <w:szCs w:val="21"/>
                <w:highlight w:val="none"/>
              </w:rPr>
            </w:pPr>
            <w:r>
              <w:rPr>
                <w:color w:val="auto"/>
                <w:spacing w:val="-2"/>
                <w:sz w:val="21"/>
                <w:szCs w:val="21"/>
                <w:highlight w:val="none"/>
              </w:rPr>
              <w:t>设备设施管</w:t>
            </w:r>
            <w:r>
              <w:rPr>
                <w:color w:val="auto"/>
                <w:sz w:val="21"/>
                <w:szCs w:val="21"/>
                <w:highlight w:val="none"/>
              </w:rPr>
              <w:t>理</w:t>
            </w:r>
          </w:p>
        </w:tc>
        <w:tc>
          <w:tcPr>
            <w:tcW w:w="5668" w:type="dxa"/>
            <w:shd w:val="clear" w:color="auto" w:fill="FFFFFF"/>
            <w:vAlign w:val="top"/>
          </w:tcPr>
          <w:p w14:paraId="4372F377">
            <w:pPr>
              <w:pStyle w:val="239"/>
              <w:spacing w:before="51" w:line="249" w:lineRule="auto"/>
              <w:ind w:left="115" w:right="99" w:hanging="1"/>
              <w:rPr>
                <w:color w:val="auto"/>
                <w:sz w:val="21"/>
                <w:szCs w:val="21"/>
                <w:highlight w:val="none"/>
              </w:rPr>
            </w:pPr>
            <w:r>
              <w:rPr>
                <w:color w:val="auto"/>
                <w:spacing w:val="-1"/>
                <w:sz w:val="21"/>
                <w:szCs w:val="21"/>
                <w:highlight w:val="none"/>
              </w:rPr>
              <w:t>所负责区域的设备设施管理情况（含水电气）按时检查，发</w:t>
            </w:r>
            <w:r>
              <w:rPr>
                <w:color w:val="auto"/>
                <w:sz w:val="21"/>
                <w:szCs w:val="21"/>
                <w:highlight w:val="none"/>
              </w:rPr>
              <w:t>现问题未及时上报维修者，每违反一次扣</w:t>
            </w:r>
            <w:r>
              <w:rPr>
                <w:color w:val="auto"/>
                <w:spacing w:val="-43"/>
                <w:sz w:val="21"/>
                <w:szCs w:val="21"/>
                <w:highlight w:val="none"/>
              </w:rPr>
              <w:t xml:space="preserve"> </w:t>
            </w:r>
            <w:r>
              <w:rPr>
                <w:rFonts w:ascii="Times New Roman" w:hAnsi="Times New Roman" w:eastAsia="Times New Roman" w:cs="Times New Roman"/>
                <w:color w:val="auto"/>
                <w:sz w:val="21"/>
                <w:szCs w:val="21"/>
                <w:highlight w:val="none"/>
              </w:rPr>
              <w:t>0</w:t>
            </w:r>
            <w:r>
              <w:rPr>
                <w:rFonts w:ascii="Times New Roman" w:hAnsi="Times New Roman" w:eastAsia="Times New Roman" w:cs="Times New Roman"/>
                <w:color w:val="auto"/>
                <w:spacing w:val="-1"/>
                <w:sz w:val="21"/>
                <w:szCs w:val="21"/>
                <w:highlight w:val="none"/>
              </w:rPr>
              <w:t xml:space="preserve">.5 </w:t>
            </w:r>
            <w:r>
              <w:rPr>
                <w:color w:val="auto"/>
                <w:spacing w:val="-1"/>
                <w:sz w:val="21"/>
                <w:szCs w:val="21"/>
                <w:highlight w:val="none"/>
              </w:rPr>
              <w:t>分</w:t>
            </w:r>
          </w:p>
        </w:tc>
        <w:tc>
          <w:tcPr>
            <w:tcW w:w="854" w:type="dxa"/>
            <w:shd w:val="clear" w:color="auto" w:fill="FFFFFF"/>
            <w:vAlign w:val="top"/>
          </w:tcPr>
          <w:p w14:paraId="44456DC4">
            <w:pPr>
              <w:spacing w:before="243"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27226E32">
            <w:pPr>
              <w:rPr>
                <w:rFonts w:ascii="Arial"/>
                <w:color w:val="auto"/>
                <w:sz w:val="21"/>
                <w:highlight w:val="none"/>
              </w:rPr>
            </w:pPr>
          </w:p>
        </w:tc>
        <w:tc>
          <w:tcPr>
            <w:tcW w:w="855" w:type="dxa"/>
            <w:vAlign w:val="top"/>
          </w:tcPr>
          <w:p w14:paraId="29673BA1">
            <w:pPr>
              <w:rPr>
                <w:rFonts w:ascii="Arial"/>
                <w:color w:val="auto"/>
                <w:sz w:val="21"/>
                <w:highlight w:val="none"/>
              </w:rPr>
            </w:pPr>
          </w:p>
        </w:tc>
      </w:tr>
      <w:tr w14:paraId="5833C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470" w:type="dxa"/>
            <w:vAlign w:val="top"/>
          </w:tcPr>
          <w:p w14:paraId="20F7B741">
            <w:pPr>
              <w:spacing w:line="254" w:lineRule="auto"/>
              <w:rPr>
                <w:rFonts w:ascii="Arial"/>
                <w:color w:val="auto"/>
                <w:sz w:val="21"/>
                <w:highlight w:val="none"/>
              </w:rPr>
            </w:pPr>
          </w:p>
          <w:p w14:paraId="2A4FC2D4">
            <w:pPr>
              <w:spacing w:before="60" w:line="234" w:lineRule="auto"/>
              <w:ind w:left="19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6</w:t>
            </w:r>
          </w:p>
        </w:tc>
        <w:tc>
          <w:tcPr>
            <w:tcW w:w="1416" w:type="dxa"/>
            <w:vAlign w:val="top"/>
          </w:tcPr>
          <w:p w14:paraId="34035CC1">
            <w:pPr>
              <w:pStyle w:val="239"/>
              <w:spacing w:before="277" w:line="221" w:lineRule="auto"/>
              <w:ind w:left="291"/>
              <w:rPr>
                <w:color w:val="auto"/>
                <w:sz w:val="21"/>
                <w:szCs w:val="21"/>
                <w:highlight w:val="none"/>
              </w:rPr>
            </w:pPr>
            <w:r>
              <w:rPr>
                <w:color w:val="auto"/>
                <w:spacing w:val="-1"/>
                <w:sz w:val="21"/>
                <w:szCs w:val="21"/>
                <w:highlight w:val="none"/>
              </w:rPr>
              <w:t>食品安全</w:t>
            </w:r>
          </w:p>
        </w:tc>
        <w:tc>
          <w:tcPr>
            <w:tcW w:w="5668" w:type="dxa"/>
            <w:vAlign w:val="top"/>
          </w:tcPr>
          <w:p w14:paraId="1F02F7FF">
            <w:pPr>
              <w:pStyle w:val="239"/>
              <w:spacing w:before="118" w:line="279" w:lineRule="auto"/>
              <w:ind w:left="114" w:right="99"/>
              <w:rPr>
                <w:color w:val="auto"/>
                <w:sz w:val="21"/>
                <w:szCs w:val="21"/>
                <w:highlight w:val="none"/>
              </w:rPr>
            </w:pPr>
            <w:r>
              <w:rPr>
                <w:color w:val="auto"/>
                <w:spacing w:val="-1"/>
                <w:sz w:val="21"/>
                <w:szCs w:val="21"/>
                <w:highlight w:val="none"/>
              </w:rPr>
              <w:t>所加工制作的食品应做到无变质腐化等安全问题，每违反一起扣</w:t>
            </w:r>
            <w:r>
              <w:rPr>
                <w:color w:val="auto"/>
                <w:spacing w:val="-34"/>
                <w:sz w:val="21"/>
                <w:szCs w:val="21"/>
                <w:highlight w:val="none"/>
              </w:rPr>
              <w:t xml:space="preserve"> </w:t>
            </w:r>
            <w:r>
              <w:rPr>
                <w:rFonts w:ascii="Times New Roman" w:hAnsi="Times New Roman" w:eastAsia="Times New Roman" w:cs="Times New Roman"/>
                <w:color w:val="auto"/>
                <w:spacing w:val="-1"/>
                <w:sz w:val="21"/>
                <w:szCs w:val="21"/>
                <w:highlight w:val="none"/>
              </w:rPr>
              <w:t xml:space="preserve">5 </w:t>
            </w:r>
            <w:r>
              <w:rPr>
                <w:color w:val="auto"/>
                <w:spacing w:val="-1"/>
                <w:sz w:val="21"/>
                <w:szCs w:val="21"/>
                <w:highlight w:val="none"/>
              </w:rPr>
              <w:t>分，其他责任根据食品安全法规进行处罚</w:t>
            </w:r>
          </w:p>
        </w:tc>
        <w:tc>
          <w:tcPr>
            <w:tcW w:w="854" w:type="dxa"/>
            <w:vAlign w:val="top"/>
          </w:tcPr>
          <w:p w14:paraId="6FFA17CD">
            <w:pPr>
              <w:spacing w:line="254" w:lineRule="auto"/>
              <w:rPr>
                <w:rFonts w:ascii="Arial"/>
                <w:color w:val="auto"/>
                <w:sz w:val="21"/>
                <w:highlight w:val="none"/>
              </w:rPr>
            </w:pPr>
          </w:p>
          <w:p w14:paraId="1107944D">
            <w:pPr>
              <w:spacing w:before="60" w:line="234" w:lineRule="auto"/>
              <w:ind w:left="34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w:t>
            </w:r>
          </w:p>
        </w:tc>
        <w:tc>
          <w:tcPr>
            <w:tcW w:w="849" w:type="dxa"/>
            <w:vAlign w:val="top"/>
          </w:tcPr>
          <w:p w14:paraId="5C441CBC">
            <w:pPr>
              <w:rPr>
                <w:rFonts w:ascii="Arial"/>
                <w:color w:val="auto"/>
                <w:sz w:val="21"/>
                <w:highlight w:val="none"/>
              </w:rPr>
            </w:pPr>
          </w:p>
        </w:tc>
        <w:tc>
          <w:tcPr>
            <w:tcW w:w="855" w:type="dxa"/>
            <w:vAlign w:val="top"/>
          </w:tcPr>
          <w:p w14:paraId="7AE9616B">
            <w:pPr>
              <w:rPr>
                <w:rFonts w:ascii="Arial"/>
                <w:color w:val="auto"/>
                <w:sz w:val="21"/>
                <w:highlight w:val="none"/>
              </w:rPr>
            </w:pPr>
          </w:p>
        </w:tc>
      </w:tr>
      <w:tr w14:paraId="786B7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470" w:type="dxa"/>
            <w:vAlign w:val="top"/>
          </w:tcPr>
          <w:p w14:paraId="14F7BA2C">
            <w:pPr>
              <w:spacing w:line="341" w:lineRule="auto"/>
              <w:rPr>
                <w:rFonts w:ascii="Arial"/>
                <w:color w:val="auto"/>
                <w:sz w:val="21"/>
                <w:highlight w:val="none"/>
              </w:rPr>
            </w:pPr>
          </w:p>
          <w:p w14:paraId="62F68CAC">
            <w:pPr>
              <w:spacing w:before="60" w:line="233" w:lineRule="auto"/>
              <w:ind w:left="19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7</w:t>
            </w:r>
          </w:p>
        </w:tc>
        <w:tc>
          <w:tcPr>
            <w:tcW w:w="1416" w:type="dxa"/>
            <w:vAlign w:val="top"/>
          </w:tcPr>
          <w:p w14:paraId="79D0FA45">
            <w:pPr>
              <w:pStyle w:val="239"/>
              <w:spacing w:before="210" w:line="277" w:lineRule="auto"/>
              <w:ind w:left="603" w:right="177" w:hanging="381"/>
              <w:rPr>
                <w:color w:val="auto"/>
                <w:sz w:val="21"/>
                <w:szCs w:val="21"/>
                <w:highlight w:val="none"/>
              </w:rPr>
            </w:pPr>
            <w:r>
              <w:rPr>
                <w:color w:val="auto"/>
                <w:spacing w:val="-8"/>
                <w:sz w:val="21"/>
                <w:szCs w:val="21"/>
                <w:highlight w:val="none"/>
              </w:rPr>
              <w:t>日常事务安</w:t>
            </w:r>
            <w:r>
              <w:rPr>
                <w:color w:val="auto"/>
                <w:sz w:val="21"/>
                <w:szCs w:val="21"/>
                <w:highlight w:val="none"/>
              </w:rPr>
              <w:t>排</w:t>
            </w:r>
          </w:p>
        </w:tc>
        <w:tc>
          <w:tcPr>
            <w:tcW w:w="5668" w:type="dxa"/>
            <w:shd w:val="clear" w:color="auto" w:fill="FFFFFF"/>
            <w:vAlign w:val="top"/>
          </w:tcPr>
          <w:p w14:paraId="0847867A">
            <w:pPr>
              <w:pStyle w:val="239"/>
              <w:spacing w:before="52" w:line="257" w:lineRule="auto"/>
              <w:ind w:left="114" w:right="99" w:firstLine="4"/>
              <w:jc w:val="both"/>
              <w:rPr>
                <w:color w:val="auto"/>
                <w:sz w:val="21"/>
                <w:szCs w:val="21"/>
                <w:highlight w:val="none"/>
              </w:rPr>
            </w:pPr>
            <w:r>
              <w:rPr>
                <w:color w:val="auto"/>
                <w:spacing w:val="-1"/>
                <w:sz w:val="21"/>
                <w:szCs w:val="21"/>
                <w:highlight w:val="none"/>
              </w:rPr>
              <w:t>安排处理好食堂日常事务，及时协调解决有关问题，保持良好工作秩序，严抓反对浪费工作，并对食堂人员出现问题负</w:t>
            </w:r>
            <w:r>
              <w:rPr>
                <w:color w:val="auto"/>
                <w:spacing w:val="-2"/>
                <w:sz w:val="21"/>
                <w:szCs w:val="21"/>
                <w:highlight w:val="none"/>
              </w:rPr>
              <w:t>连带责任，未按要求达标者每次扣</w:t>
            </w:r>
            <w:r>
              <w:rPr>
                <w:color w:val="auto"/>
                <w:spacing w:val="-27"/>
                <w:sz w:val="21"/>
                <w:szCs w:val="21"/>
                <w:highlight w:val="none"/>
              </w:rPr>
              <w:t xml:space="preserve"> </w:t>
            </w:r>
            <w:r>
              <w:rPr>
                <w:rFonts w:ascii="Times New Roman" w:hAnsi="Times New Roman" w:eastAsia="Times New Roman" w:cs="Times New Roman"/>
                <w:color w:val="auto"/>
                <w:spacing w:val="-2"/>
                <w:sz w:val="21"/>
                <w:szCs w:val="21"/>
                <w:highlight w:val="none"/>
              </w:rPr>
              <w:t xml:space="preserve">0.5 </w:t>
            </w:r>
            <w:r>
              <w:rPr>
                <w:color w:val="auto"/>
                <w:spacing w:val="-2"/>
                <w:sz w:val="21"/>
                <w:szCs w:val="21"/>
                <w:highlight w:val="none"/>
              </w:rPr>
              <w:t>分。</w:t>
            </w:r>
          </w:p>
        </w:tc>
        <w:tc>
          <w:tcPr>
            <w:tcW w:w="854" w:type="dxa"/>
            <w:vAlign w:val="top"/>
          </w:tcPr>
          <w:p w14:paraId="0ADB6B33">
            <w:pPr>
              <w:spacing w:line="340" w:lineRule="auto"/>
              <w:rPr>
                <w:rFonts w:ascii="Arial"/>
                <w:color w:val="auto"/>
                <w:sz w:val="21"/>
                <w:highlight w:val="none"/>
              </w:rPr>
            </w:pPr>
          </w:p>
          <w:p w14:paraId="3CA4B4C0">
            <w:pPr>
              <w:spacing w:before="6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4B4295DE">
            <w:pPr>
              <w:rPr>
                <w:rFonts w:ascii="Arial"/>
                <w:color w:val="auto"/>
                <w:sz w:val="21"/>
                <w:highlight w:val="none"/>
              </w:rPr>
            </w:pPr>
          </w:p>
        </w:tc>
        <w:tc>
          <w:tcPr>
            <w:tcW w:w="855" w:type="dxa"/>
            <w:vAlign w:val="top"/>
          </w:tcPr>
          <w:p w14:paraId="5FCBA761">
            <w:pPr>
              <w:rPr>
                <w:rFonts w:ascii="Arial"/>
                <w:color w:val="auto"/>
                <w:sz w:val="21"/>
                <w:highlight w:val="none"/>
              </w:rPr>
            </w:pPr>
          </w:p>
        </w:tc>
      </w:tr>
      <w:tr w14:paraId="08C10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470" w:type="dxa"/>
            <w:vAlign w:val="top"/>
          </w:tcPr>
          <w:p w14:paraId="62970D7A">
            <w:pPr>
              <w:spacing w:before="250" w:line="234" w:lineRule="auto"/>
              <w:ind w:left="19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8</w:t>
            </w:r>
          </w:p>
        </w:tc>
        <w:tc>
          <w:tcPr>
            <w:tcW w:w="1416" w:type="dxa"/>
            <w:vAlign w:val="top"/>
          </w:tcPr>
          <w:p w14:paraId="41D281B0">
            <w:pPr>
              <w:pStyle w:val="239"/>
              <w:spacing w:before="211" w:line="221" w:lineRule="auto"/>
              <w:ind w:left="290"/>
              <w:rPr>
                <w:color w:val="auto"/>
                <w:sz w:val="21"/>
                <w:szCs w:val="21"/>
                <w:highlight w:val="none"/>
              </w:rPr>
            </w:pPr>
            <w:r>
              <w:rPr>
                <w:color w:val="auto"/>
                <w:spacing w:val="-1"/>
                <w:sz w:val="21"/>
                <w:szCs w:val="21"/>
                <w:highlight w:val="none"/>
              </w:rPr>
              <w:t>刷卡监督</w:t>
            </w:r>
          </w:p>
        </w:tc>
        <w:tc>
          <w:tcPr>
            <w:tcW w:w="5668" w:type="dxa"/>
            <w:shd w:val="clear" w:color="auto" w:fill="FFFFFF"/>
            <w:vAlign w:val="top"/>
          </w:tcPr>
          <w:p w14:paraId="7D1C2C85">
            <w:pPr>
              <w:pStyle w:val="239"/>
              <w:spacing w:before="52" w:line="249" w:lineRule="auto"/>
              <w:ind w:left="120" w:right="102" w:hanging="7"/>
              <w:rPr>
                <w:color w:val="auto"/>
                <w:sz w:val="21"/>
                <w:szCs w:val="21"/>
                <w:highlight w:val="none"/>
              </w:rPr>
            </w:pPr>
            <w:r>
              <w:rPr>
                <w:color w:val="auto"/>
                <w:spacing w:val="-1"/>
                <w:sz w:val="21"/>
                <w:szCs w:val="21"/>
                <w:highlight w:val="none"/>
              </w:rPr>
              <w:t>在就餐中，必须按要求对刷卡及签字登记就餐严格监督，按照一卡一餐具发放，未按要求执行，每次扣</w:t>
            </w:r>
            <w:r>
              <w:rPr>
                <w:color w:val="auto"/>
                <w:spacing w:val="-31"/>
                <w:sz w:val="21"/>
                <w:szCs w:val="21"/>
                <w:highlight w:val="none"/>
              </w:rPr>
              <w:t xml:space="preserve"> </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w:t>
            </w:r>
          </w:p>
        </w:tc>
        <w:tc>
          <w:tcPr>
            <w:tcW w:w="854" w:type="dxa"/>
            <w:shd w:val="clear" w:color="auto" w:fill="FFFFFF"/>
            <w:vAlign w:val="top"/>
          </w:tcPr>
          <w:p w14:paraId="0A8EB0AC">
            <w:pPr>
              <w:spacing w:before="25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447C6FBA">
            <w:pPr>
              <w:rPr>
                <w:rFonts w:ascii="Arial"/>
                <w:color w:val="auto"/>
                <w:sz w:val="21"/>
                <w:highlight w:val="none"/>
              </w:rPr>
            </w:pPr>
          </w:p>
        </w:tc>
        <w:tc>
          <w:tcPr>
            <w:tcW w:w="855" w:type="dxa"/>
            <w:vAlign w:val="top"/>
          </w:tcPr>
          <w:p w14:paraId="70DFE89B">
            <w:pPr>
              <w:rPr>
                <w:rFonts w:ascii="Arial"/>
                <w:color w:val="auto"/>
                <w:sz w:val="21"/>
                <w:highlight w:val="none"/>
              </w:rPr>
            </w:pPr>
          </w:p>
        </w:tc>
      </w:tr>
      <w:tr w14:paraId="122BEA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470" w:type="dxa"/>
            <w:vAlign w:val="top"/>
          </w:tcPr>
          <w:p w14:paraId="13FF89A9">
            <w:pPr>
              <w:spacing w:line="249" w:lineRule="auto"/>
              <w:rPr>
                <w:rFonts w:ascii="Arial"/>
                <w:color w:val="auto"/>
                <w:sz w:val="21"/>
                <w:highlight w:val="none"/>
              </w:rPr>
            </w:pPr>
          </w:p>
          <w:p w14:paraId="03BB0E54">
            <w:pPr>
              <w:spacing w:line="250" w:lineRule="auto"/>
              <w:rPr>
                <w:rFonts w:ascii="Arial"/>
                <w:color w:val="auto"/>
                <w:sz w:val="21"/>
                <w:highlight w:val="none"/>
              </w:rPr>
            </w:pPr>
          </w:p>
          <w:p w14:paraId="7922454F">
            <w:pPr>
              <w:spacing w:before="60" w:line="233" w:lineRule="auto"/>
              <w:ind w:left="19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9</w:t>
            </w:r>
          </w:p>
        </w:tc>
        <w:tc>
          <w:tcPr>
            <w:tcW w:w="1416" w:type="dxa"/>
            <w:vAlign w:val="top"/>
          </w:tcPr>
          <w:p w14:paraId="7EEAC6B1">
            <w:pPr>
              <w:spacing w:line="451" w:lineRule="auto"/>
              <w:rPr>
                <w:rFonts w:ascii="Arial"/>
                <w:color w:val="auto"/>
                <w:sz w:val="21"/>
                <w:highlight w:val="none"/>
              </w:rPr>
            </w:pPr>
          </w:p>
          <w:p w14:paraId="6F7DF533">
            <w:pPr>
              <w:pStyle w:val="239"/>
              <w:spacing w:before="68" w:line="221" w:lineRule="auto"/>
              <w:ind w:left="291"/>
              <w:rPr>
                <w:color w:val="auto"/>
                <w:sz w:val="21"/>
                <w:szCs w:val="21"/>
                <w:highlight w:val="none"/>
              </w:rPr>
            </w:pPr>
            <w:r>
              <w:rPr>
                <w:color w:val="auto"/>
                <w:spacing w:val="-1"/>
                <w:sz w:val="21"/>
                <w:szCs w:val="21"/>
                <w:highlight w:val="none"/>
              </w:rPr>
              <w:t>菜品质量</w:t>
            </w:r>
          </w:p>
        </w:tc>
        <w:tc>
          <w:tcPr>
            <w:tcW w:w="5668" w:type="dxa"/>
            <w:shd w:val="clear" w:color="auto" w:fill="FFFFFF"/>
            <w:vAlign w:val="top"/>
          </w:tcPr>
          <w:p w14:paraId="7714B10C">
            <w:pPr>
              <w:pStyle w:val="239"/>
              <w:spacing w:before="54" w:line="261" w:lineRule="auto"/>
              <w:ind w:left="116" w:right="98" w:hanging="1"/>
              <w:jc w:val="both"/>
              <w:rPr>
                <w:color w:val="auto"/>
                <w:sz w:val="21"/>
                <w:szCs w:val="21"/>
                <w:highlight w:val="none"/>
              </w:rPr>
            </w:pPr>
            <w:r>
              <w:rPr>
                <w:color w:val="auto"/>
                <w:spacing w:val="-1"/>
                <w:sz w:val="21"/>
                <w:szCs w:val="21"/>
                <w:highlight w:val="none"/>
              </w:rPr>
              <w:t>严格按照食堂管理办公室提供的菜谱进行制作，注意菜品在色、香、味及营养上有机结合，严防菜品粗加工和制作过程的浪费现象，非特殊原因，未按菜谱落实的，每项菜扣</w:t>
            </w:r>
            <w:r>
              <w:rPr>
                <w:color w:val="auto"/>
                <w:spacing w:val="-34"/>
                <w:sz w:val="21"/>
                <w:szCs w:val="21"/>
                <w:highlight w:val="none"/>
              </w:rPr>
              <w:t xml:space="preserve"> </w:t>
            </w:r>
            <w:r>
              <w:rPr>
                <w:rFonts w:ascii="Times New Roman" w:hAnsi="Times New Roman" w:eastAsia="Times New Roman" w:cs="Times New Roman"/>
                <w:color w:val="auto"/>
                <w:spacing w:val="-1"/>
                <w:sz w:val="21"/>
                <w:szCs w:val="21"/>
                <w:highlight w:val="none"/>
              </w:rPr>
              <w:t>0.5</w:t>
            </w:r>
            <w:r>
              <w:rPr>
                <w:color w:val="auto"/>
                <w:spacing w:val="-3"/>
                <w:sz w:val="21"/>
                <w:szCs w:val="21"/>
                <w:highlight w:val="none"/>
              </w:rPr>
              <w:t>分，造成浪费的，每次扣</w:t>
            </w:r>
            <w:r>
              <w:rPr>
                <w:color w:val="auto"/>
                <w:spacing w:val="-25"/>
                <w:sz w:val="21"/>
                <w:szCs w:val="21"/>
                <w:highlight w:val="none"/>
              </w:rPr>
              <w:t xml:space="preserve"> </w:t>
            </w:r>
            <w:r>
              <w:rPr>
                <w:rFonts w:ascii="Times New Roman" w:hAnsi="Times New Roman" w:eastAsia="Times New Roman" w:cs="Times New Roman"/>
                <w:color w:val="auto"/>
                <w:spacing w:val="-3"/>
                <w:sz w:val="21"/>
                <w:szCs w:val="21"/>
                <w:highlight w:val="none"/>
              </w:rPr>
              <w:t xml:space="preserve">1 </w:t>
            </w:r>
            <w:r>
              <w:rPr>
                <w:color w:val="auto"/>
                <w:spacing w:val="-3"/>
                <w:sz w:val="21"/>
                <w:szCs w:val="21"/>
                <w:highlight w:val="none"/>
              </w:rPr>
              <w:t>分。</w:t>
            </w:r>
          </w:p>
        </w:tc>
        <w:tc>
          <w:tcPr>
            <w:tcW w:w="854" w:type="dxa"/>
            <w:vAlign w:val="top"/>
          </w:tcPr>
          <w:p w14:paraId="1D78E4C9">
            <w:pPr>
              <w:spacing w:line="249" w:lineRule="auto"/>
              <w:rPr>
                <w:rFonts w:ascii="Arial"/>
                <w:color w:val="auto"/>
                <w:sz w:val="21"/>
                <w:highlight w:val="none"/>
              </w:rPr>
            </w:pPr>
          </w:p>
          <w:p w14:paraId="1F77235F">
            <w:pPr>
              <w:spacing w:line="249" w:lineRule="auto"/>
              <w:rPr>
                <w:rFonts w:ascii="Arial"/>
                <w:color w:val="auto"/>
                <w:sz w:val="21"/>
                <w:highlight w:val="none"/>
              </w:rPr>
            </w:pPr>
          </w:p>
          <w:p w14:paraId="4FC66D1C">
            <w:pPr>
              <w:spacing w:before="60" w:line="234" w:lineRule="auto"/>
              <w:ind w:left="34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w:t>
            </w:r>
          </w:p>
        </w:tc>
        <w:tc>
          <w:tcPr>
            <w:tcW w:w="849" w:type="dxa"/>
            <w:vAlign w:val="top"/>
          </w:tcPr>
          <w:p w14:paraId="66251327">
            <w:pPr>
              <w:rPr>
                <w:rFonts w:ascii="Arial"/>
                <w:color w:val="auto"/>
                <w:sz w:val="21"/>
                <w:highlight w:val="none"/>
              </w:rPr>
            </w:pPr>
          </w:p>
        </w:tc>
        <w:tc>
          <w:tcPr>
            <w:tcW w:w="855" w:type="dxa"/>
            <w:vAlign w:val="top"/>
          </w:tcPr>
          <w:p w14:paraId="698F5B0B">
            <w:pPr>
              <w:rPr>
                <w:rFonts w:ascii="Arial"/>
                <w:color w:val="auto"/>
                <w:sz w:val="21"/>
                <w:highlight w:val="none"/>
              </w:rPr>
            </w:pPr>
          </w:p>
        </w:tc>
      </w:tr>
      <w:tr w14:paraId="3FA03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470" w:type="dxa"/>
            <w:vAlign w:val="top"/>
          </w:tcPr>
          <w:p w14:paraId="45DDF5F9">
            <w:pPr>
              <w:spacing w:before="251" w:line="234"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w:t>
            </w:r>
          </w:p>
        </w:tc>
        <w:tc>
          <w:tcPr>
            <w:tcW w:w="1416" w:type="dxa"/>
            <w:vAlign w:val="top"/>
          </w:tcPr>
          <w:p w14:paraId="6DFA7009">
            <w:pPr>
              <w:pStyle w:val="239"/>
              <w:spacing w:before="211" w:line="221" w:lineRule="auto"/>
              <w:ind w:left="291"/>
              <w:rPr>
                <w:color w:val="auto"/>
                <w:sz w:val="21"/>
                <w:szCs w:val="21"/>
                <w:highlight w:val="none"/>
              </w:rPr>
            </w:pPr>
            <w:r>
              <w:rPr>
                <w:color w:val="auto"/>
                <w:spacing w:val="-1"/>
                <w:sz w:val="21"/>
                <w:szCs w:val="21"/>
                <w:highlight w:val="none"/>
              </w:rPr>
              <w:t>食品留样</w:t>
            </w:r>
          </w:p>
        </w:tc>
        <w:tc>
          <w:tcPr>
            <w:tcW w:w="5668" w:type="dxa"/>
            <w:shd w:val="clear" w:color="auto" w:fill="FFFFFF"/>
            <w:vAlign w:val="top"/>
          </w:tcPr>
          <w:p w14:paraId="74911B5F">
            <w:pPr>
              <w:pStyle w:val="239"/>
              <w:spacing w:before="52" w:line="249" w:lineRule="auto"/>
              <w:ind w:left="114" w:right="144"/>
              <w:rPr>
                <w:color w:val="auto"/>
                <w:sz w:val="21"/>
                <w:szCs w:val="21"/>
                <w:highlight w:val="none"/>
              </w:rPr>
            </w:pPr>
            <w:r>
              <w:rPr>
                <w:color w:val="auto"/>
                <w:spacing w:val="-1"/>
                <w:sz w:val="21"/>
                <w:szCs w:val="21"/>
                <w:highlight w:val="none"/>
              </w:rPr>
              <w:t>严格按照食品留样标准进行食品留样，每天至少按实留样</w:t>
            </w:r>
            <w:r>
              <w:rPr>
                <w:color w:val="auto"/>
                <w:spacing w:val="-33"/>
                <w:sz w:val="21"/>
                <w:szCs w:val="21"/>
                <w:highlight w:val="none"/>
              </w:rPr>
              <w:t xml:space="preserve"> </w:t>
            </w:r>
            <w:r>
              <w:rPr>
                <w:rFonts w:ascii="Times New Roman" w:hAnsi="Times New Roman" w:eastAsia="Times New Roman" w:cs="Times New Roman"/>
                <w:color w:val="auto"/>
                <w:spacing w:val="-1"/>
                <w:sz w:val="21"/>
                <w:szCs w:val="21"/>
                <w:highlight w:val="none"/>
              </w:rPr>
              <w:t>4</w:t>
            </w:r>
            <w:r>
              <w:rPr>
                <w:color w:val="auto"/>
                <w:spacing w:val="-1"/>
                <w:sz w:val="21"/>
                <w:szCs w:val="21"/>
                <w:highlight w:val="none"/>
              </w:rPr>
              <w:t>个，并做好台账登记，未按要求执行每次扣</w:t>
            </w:r>
            <w:r>
              <w:rPr>
                <w:color w:val="auto"/>
                <w:spacing w:val="-4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w:t>
            </w:r>
          </w:p>
        </w:tc>
        <w:tc>
          <w:tcPr>
            <w:tcW w:w="854" w:type="dxa"/>
            <w:shd w:val="clear" w:color="auto" w:fill="FFFFFF"/>
            <w:vAlign w:val="top"/>
          </w:tcPr>
          <w:p w14:paraId="57C1E632">
            <w:pPr>
              <w:spacing w:before="251"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7C432761">
            <w:pPr>
              <w:rPr>
                <w:rFonts w:ascii="Arial"/>
                <w:color w:val="auto"/>
                <w:sz w:val="21"/>
                <w:highlight w:val="none"/>
              </w:rPr>
            </w:pPr>
          </w:p>
        </w:tc>
        <w:tc>
          <w:tcPr>
            <w:tcW w:w="855" w:type="dxa"/>
            <w:vAlign w:val="top"/>
          </w:tcPr>
          <w:p w14:paraId="3AEDE2F3">
            <w:pPr>
              <w:rPr>
                <w:rFonts w:ascii="Arial"/>
                <w:color w:val="auto"/>
                <w:sz w:val="21"/>
                <w:highlight w:val="none"/>
              </w:rPr>
            </w:pPr>
          </w:p>
        </w:tc>
      </w:tr>
      <w:tr w14:paraId="1CD41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470" w:type="dxa"/>
            <w:vAlign w:val="top"/>
          </w:tcPr>
          <w:p w14:paraId="2E12068B">
            <w:pPr>
              <w:spacing w:line="347" w:lineRule="auto"/>
              <w:rPr>
                <w:rFonts w:ascii="Arial"/>
                <w:color w:val="auto"/>
                <w:sz w:val="21"/>
                <w:highlight w:val="none"/>
              </w:rPr>
            </w:pPr>
          </w:p>
          <w:p w14:paraId="6C68239C">
            <w:pPr>
              <w:spacing w:before="60" w:line="236"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11</w:t>
            </w:r>
          </w:p>
        </w:tc>
        <w:tc>
          <w:tcPr>
            <w:tcW w:w="1416" w:type="dxa"/>
            <w:vAlign w:val="top"/>
          </w:tcPr>
          <w:p w14:paraId="057E24A4">
            <w:pPr>
              <w:spacing w:line="299" w:lineRule="auto"/>
              <w:rPr>
                <w:rFonts w:ascii="Arial"/>
                <w:color w:val="auto"/>
                <w:sz w:val="21"/>
                <w:highlight w:val="none"/>
              </w:rPr>
            </w:pPr>
          </w:p>
          <w:p w14:paraId="55E3F409">
            <w:pPr>
              <w:pStyle w:val="239"/>
              <w:spacing w:before="68" w:line="221" w:lineRule="auto"/>
              <w:ind w:left="291"/>
              <w:rPr>
                <w:color w:val="auto"/>
                <w:sz w:val="21"/>
                <w:szCs w:val="21"/>
                <w:highlight w:val="none"/>
              </w:rPr>
            </w:pPr>
            <w:r>
              <w:rPr>
                <w:color w:val="auto"/>
                <w:spacing w:val="-1"/>
                <w:sz w:val="21"/>
                <w:szCs w:val="21"/>
                <w:highlight w:val="none"/>
              </w:rPr>
              <w:t>菜式创新</w:t>
            </w:r>
          </w:p>
        </w:tc>
        <w:tc>
          <w:tcPr>
            <w:tcW w:w="5668" w:type="dxa"/>
            <w:shd w:val="clear" w:color="auto" w:fill="FFFFFF"/>
            <w:vAlign w:val="top"/>
          </w:tcPr>
          <w:p w14:paraId="2F03ED0B">
            <w:pPr>
              <w:pStyle w:val="239"/>
              <w:spacing w:before="57" w:line="257" w:lineRule="auto"/>
              <w:ind w:left="117" w:right="41"/>
              <w:jc w:val="both"/>
              <w:rPr>
                <w:color w:val="auto"/>
                <w:sz w:val="21"/>
                <w:szCs w:val="21"/>
                <w:highlight w:val="none"/>
              </w:rPr>
            </w:pPr>
            <w:r>
              <w:rPr>
                <w:color w:val="auto"/>
                <w:spacing w:val="-1"/>
                <w:sz w:val="21"/>
                <w:szCs w:val="21"/>
                <w:highlight w:val="none"/>
              </w:rPr>
              <w:t>厨师在菜式创新上应做到经常性讨论交流，每月每名厨师务</w:t>
            </w:r>
            <w:r>
              <w:rPr>
                <w:color w:val="auto"/>
                <w:spacing w:val="-10"/>
                <w:sz w:val="21"/>
                <w:szCs w:val="21"/>
                <w:highlight w:val="none"/>
              </w:rPr>
              <w:t>必推出</w:t>
            </w:r>
            <w:r>
              <w:rPr>
                <w:color w:val="auto"/>
                <w:spacing w:val="-35"/>
                <w:sz w:val="21"/>
                <w:szCs w:val="21"/>
                <w:highlight w:val="none"/>
              </w:rPr>
              <w:t xml:space="preserve"> </w:t>
            </w:r>
            <w:r>
              <w:rPr>
                <w:rFonts w:ascii="Times New Roman" w:hAnsi="Times New Roman" w:eastAsia="Times New Roman" w:cs="Times New Roman"/>
                <w:color w:val="auto"/>
                <w:spacing w:val="-10"/>
                <w:sz w:val="21"/>
                <w:szCs w:val="21"/>
                <w:highlight w:val="none"/>
              </w:rPr>
              <w:t xml:space="preserve">2 </w:t>
            </w:r>
            <w:r>
              <w:rPr>
                <w:color w:val="auto"/>
                <w:spacing w:val="-10"/>
                <w:sz w:val="21"/>
                <w:szCs w:val="21"/>
                <w:highlight w:val="none"/>
              </w:rPr>
              <w:t>个新菜，果盘制作搭配合理、美观， 同时严防浪费，</w:t>
            </w:r>
            <w:r>
              <w:rPr>
                <w:color w:val="auto"/>
                <w:spacing w:val="-2"/>
                <w:sz w:val="21"/>
                <w:szCs w:val="21"/>
                <w:highlight w:val="none"/>
              </w:rPr>
              <w:t>未按要求执行，每次扣</w:t>
            </w:r>
            <w:r>
              <w:rPr>
                <w:color w:val="auto"/>
                <w:spacing w:val="-24"/>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 </w:t>
            </w:r>
            <w:r>
              <w:rPr>
                <w:color w:val="auto"/>
                <w:spacing w:val="-2"/>
                <w:sz w:val="21"/>
                <w:szCs w:val="21"/>
                <w:highlight w:val="none"/>
              </w:rPr>
              <w:t>分</w:t>
            </w:r>
          </w:p>
        </w:tc>
        <w:tc>
          <w:tcPr>
            <w:tcW w:w="854" w:type="dxa"/>
            <w:shd w:val="clear" w:color="auto" w:fill="FFFFFF"/>
            <w:vAlign w:val="top"/>
          </w:tcPr>
          <w:p w14:paraId="7236CB11">
            <w:pPr>
              <w:spacing w:line="346" w:lineRule="auto"/>
              <w:rPr>
                <w:rFonts w:ascii="Arial"/>
                <w:color w:val="auto"/>
                <w:sz w:val="21"/>
                <w:highlight w:val="none"/>
              </w:rPr>
            </w:pPr>
          </w:p>
          <w:p w14:paraId="69747A55">
            <w:pPr>
              <w:spacing w:before="61"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01896496">
            <w:pPr>
              <w:rPr>
                <w:rFonts w:ascii="Arial"/>
                <w:color w:val="auto"/>
                <w:sz w:val="21"/>
                <w:highlight w:val="none"/>
              </w:rPr>
            </w:pPr>
          </w:p>
        </w:tc>
        <w:tc>
          <w:tcPr>
            <w:tcW w:w="855" w:type="dxa"/>
            <w:vAlign w:val="top"/>
          </w:tcPr>
          <w:p w14:paraId="1D8DD1B7">
            <w:pPr>
              <w:rPr>
                <w:rFonts w:ascii="Arial"/>
                <w:color w:val="auto"/>
                <w:sz w:val="21"/>
                <w:highlight w:val="none"/>
              </w:rPr>
            </w:pPr>
          </w:p>
        </w:tc>
      </w:tr>
      <w:tr w14:paraId="7E17B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470" w:type="dxa"/>
            <w:vAlign w:val="top"/>
          </w:tcPr>
          <w:p w14:paraId="7C773797">
            <w:pPr>
              <w:spacing w:line="362" w:lineRule="auto"/>
              <w:rPr>
                <w:rFonts w:ascii="Arial"/>
                <w:color w:val="auto"/>
                <w:sz w:val="21"/>
                <w:highlight w:val="none"/>
              </w:rPr>
            </w:pPr>
          </w:p>
          <w:p w14:paraId="34C7BF37">
            <w:pPr>
              <w:spacing w:before="60" w:line="236"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12</w:t>
            </w:r>
          </w:p>
        </w:tc>
        <w:tc>
          <w:tcPr>
            <w:tcW w:w="1416" w:type="dxa"/>
            <w:vAlign w:val="top"/>
          </w:tcPr>
          <w:p w14:paraId="7A53E875">
            <w:pPr>
              <w:pStyle w:val="239"/>
              <w:spacing w:before="226" w:line="276" w:lineRule="auto"/>
              <w:ind w:left="501" w:right="74" w:hanging="392"/>
              <w:rPr>
                <w:color w:val="auto"/>
                <w:sz w:val="21"/>
                <w:szCs w:val="21"/>
                <w:highlight w:val="none"/>
              </w:rPr>
            </w:pPr>
            <w:r>
              <w:rPr>
                <w:color w:val="auto"/>
                <w:spacing w:val="-6"/>
                <w:sz w:val="21"/>
                <w:szCs w:val="21"/>
                <w:highlight w:val="none"/>
              </w:rPr>
              <w:t>摘菜、洗菜、</w:t>
            </w:r>
            <w:r>
              <w:rPr>
                <w:color w:val="auto"/>
                <w:spacing w:val="-2"/>
                <w:sz w:val="21"/>
                <w:szCs w:val="21"/>
                <w:highlight w:val="none"/>
              </w:rPr>
              <w:t>传菜</w:t>
            </w:r>
          </w:p>
        </w:tc>
        <w:tc>
          <w:tcPr>
            <w:tcW w:w="5668" w:type="dxa"/>
            <w:shd w:val="clear" w:color="auto" w:fill="FFFFFF"/>
            <w:vAlign w:val="top"/>
          </w:tcPr>
          <w:p w14:paraId="058396A4">
            <w:pPr>
              <w:pStyle w:val="239"/>
              <w:spacing w:before="71" w:line="263" w:lineRule="auto"/>
              <w:ind w:left="113" w:right="99"/>
              <w:jc w:val="both"/>
              <w:rPr>
                <w:color w:val="auto"/>
                <w:sz w:val="21"/>
                <w:szCs w:val="21"/>
                <w:highlight w:val="none"/>
              </w:rPr>
            </w:pPr>
            <w:r>
              <w:rPr>
                <w:color w:val="auto"/>
                <w:spacing w:val="-1"/>
                <w:sz w:val="21"/>
                <w:szCs w:val="21"/>
                <w:highlight w:val="none"/>
              </w:rPr>
              <w:t>摘菜、洗菜、传菜、蒸饭要及时，确保食物的正常供应；蔬菜的清洗应做到无泥沙杂质、无枯萎黄叶，菜品粗加工和清洗阶段都要严防浪费现象，未按要求执行，每次扣</w:t>
            </w:r>
            <w:r>
              <w:rPr>
                <w:color w:val="auto"/>
                <w:spacing w:val="-40"/>
                <w:sz w:val="21"/>
                <w:szCs w:val="21"/>
                <w:highlight w:val="none"/>
              </w:rPr>
              <w:t xml:space="preserve"> </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w:t>
            </w:r>
          </w:p>
        </w:tc>
        <w:tc>
          <w:tcPr>
            <w:tcW w:w="854" w:type="dxa"/>
            <w:vAlign w:val="top"/>
          </w:tcPr>
          <w:p w14:paraId="0721C175">
            <w:pPr>
              <w:spacing w:line="361" w:lineRule="auto"/>
              <w:rPr>
                <w:rFonts w:ascii="Arial"/>
                <w:color w:val="auto"/>
                <w:sz w:val="21"/>
                <w:highlight w:val="none"/>
              </w:rPr>
            </w:pPr>
          </w:p>
          <w:p w14:paraId="1C159C31">
            <w:pPr>
              <w:spacing w:before="61"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2D3FC378">
            <w:pPr>
              <w:rPr>
                <w:rFonts w:ascii="Arial"/>
                <w:color w:val="auto"/>
                <w:sz w:val="21"/>
                <w:highlight w:val="none"/>
              </w:rPr>
            </w:pPr>
          </w:p>
        </w:tc>
        <w:tc>
          <w:tcPr>
            <w:tcW w:w="855" w:type="dxa"/>
            <w:vAlign w:val="top"/>
          </w:tcPr>
          <w:p w14:paraId="446C15C8">
            <w:pPr>
              <w:rPr>
                <w:rFonts w:ascii="Arial"/>
                <w:color w:val="auto"/>
                <w:sz w:val="21"/>
                <w:highlight w:val="none"/>
              </w:rPr>
            </w:pPr>
          </w:p>
        </w:tc>
      </w:tr>
      <w:tr w14:paraId="67B29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470" w:type="dxa"/>
            <w:vAlign w:val="top"/>
          </w:tcPr>
          <w:p w14:paraId="059B22AF">
            <w:pPr>
              <w:spacing w:line="269" w:lineRule="auto"/>
              <w:rPr>
                <w:rFonts w:ascii="Arial"/>
                <w:color w:val="auto"/>
                <w:sz w:val="21"/>
                <w:highlight w:val="none"/>
              </w:rPr>
            </w:pPr>
          </w:p>
          <w:p w14:paraId="29789234">
            <w:pPr>
              <w:spacing w:line="269" w:lineRule="auto"/>
              <w:rPr>
                <w:rFonts w:ascii="Arial"/>
                <w:color w:val="auto"/>
                <w:sz w:val="21"/>
                <w:highlight w:val="none"/>
              </w:rPr>
            </w:pPr>
          </w:p>
          <w:p w14:paraId="5C7F1FBA">
            <w:pPr>
              <w:spacing w:before="60" w:line="234"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13</w:t>
            </w:r>
          </w:p>
        </w:tc>
        <w:tc>
          <w:tcPr>
            <w:tcW w:w="1416" w:type="dxa"/>
            <w:vAlign w:val="top"/>
          </w:tcPr>
          <w:p w14:paraId="606FFC91">
            <w:pPr>
              <w:spacing w:line="339" w:lineRule="auto"/>
              <w:rPr>
                <w:rFonts w:ascii="Arial"/>
                <w:color w:val="auto"/>
                <w:sz w:val="21"/>
                <w:highlight w:val="none"/>
              </w:rPr>
            </w:pPr>
          </w:p>
          <w:p w14:paraId="4717073F">
            <w:pPr>
              <w:pStyle w:val="239"/>
              <w:spacing w:before="68" w:line="276" w:lineRule="auto"/>
              <w:ind w:left="605" w:right="177" w:hanging="418"/>
              <w:rPr>
                <w:color w:val="auto"/>
                <w:sz w:val="21"/>
                <w:szCs w:val="21"/>
                <w:highlight w:val="none"/>
              </w:rPr>
            </w:pPr>
            <w:r>
              <w:rPr>
                <w:color w:val="auto"/>
                <w:spacing w:val="-1"/>
                <w:sz w:val="21"/>
                <w:szCs w:val="21"/>
                <w:highlight w:val="none"/>
              </w:rPr>
              <w:t>餐具清洗消</w:t>
            </w:r>
            <w:r>
              <w:rPr>
                <w:color w:val="auto"/>
                <w:sz w:val="21"/>
                <w:szCs w:val="21"/>
                <w:highlight w:val="none"/>
              </w:rPr>
              <w:t>毒</w:t>
            </w:r>
          </w:p>
        </w:tc>
        <w:tc>
          <w:tcPr>
            <w:tcW w:w="5668" w:type="dxa"/>
            <w:shd w:val="clear" w:color="auto" w:fill="FFFFFF"/>
            <w:vAlign w:val="top"/>
          </w:tcPr>
          <w:p w14:paraId="79CFA55D">
            <w:pPr>
              <w:pStyle w:val="239"/>
              <w:spacing w:before="96" w:line="272" w:lineRule="auto"/>
              <w:ind w:left="113" w:right="99" w:firstLine="2"/>
              <w:jc w:val="both"/>
              <w:rPr>
                <w:color w:val="auto"/>
                <w:sz w:val="21"/>
                <w:szCs w:val="21"/>
                <w:highlight w:val="none"/>
              </w:rPr>
            </w:pPr>
            <w:r>
              <w:rPr>
                <w:color w:val="auto"/>
                <w:spacing w:val="-1"/>
                <w:sz w:val="21"/>
                <w:szCs w:val="21"/>
                <w:highlight w:val="none"/>
              </w:rPr>
              <w:t>餐具要保证干净，无破损，餐具消毒前未用洁净抹布擦干，餐具不干净、有破损现象、有滴水现象，消毒未达到规定时间就取出使用及未按要求登记消毒时间记录，每违反一次扣</w:t>
            </w:r>
            <w:r>
              <w:rPr>
                <w:rFonts w:ascii="Times New Roman" w:hAnsi="Times New Roman" w:eastAsia="Times New Roman" w:cs="Times New Roman"/>
                <w:color w:val="auto"/>
                <w:spacing w:val="-1"/>
                <w:sz w:val="21"/>
                <w:szCs w:val="21"/>
                <w:highlight w:val="none"/>
              </w:rPr>
              <w:t xml:space="preserve">0.5 </w:t>
            </w:r>
            <w:r>
              <w:rPr>
                <w:color w:val="auto"/>
                <w:spacing w:val="-1"/>
                <w:sz w:val="21"/>
                <w:szCs w:val="21"/>
                <w:highlight w:val="none"/>
              </w:rPr>
              <w:t>分</w:t>
            </w:r>
            <w:r>
              <w:rPr>
                <w:rFonts w:ascii="Times New Roman" w:hAnsi="Times New Roman" w:eastAsia="Times New Roman" w:cs="Times New Roman"/>
                <w:color w:val="auto"/>
                <w:spacing w:val="-1"/>
                <w:sz w:val="21"/>
                <w:szCs w:val="21"/>
                <w:highlight w:val="none"/>
              </w:rPr>
              <w:t>,</w:t>
            </w:r>
            <w:r>
              <w:rPr>
                <w:color w:val="auto"/>
                <w:spacing w:val="-1"/>
                <w:sz w:val="21"/>
                <w:szCs w:val="21"/>
                <w:highlight w:val="none"/>
              </w:rPr>
              <w:t>不爱惜餐具，人为造成大量破损的，每次扣</w:t>
            </w:r>
            <w:r>
              <w:rPr>
                <w:color w:val="auto"/>
                <w:spacing w:val="-41"/>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 </w:t>
            </w:r>
            <w:r>
              <w:rPr>
                <w:color w:val="auto"/>
                <w:spacing w:val="-1"/>
                <w:sz w:val="21"/>
                <w:szCs w:val="21"/>
                <w:highlight w:val="none"/>
              </w:rPr>
              <w:t>分。</w:t>
            </w:r>
          </w:p>
        </w:tc>
        <w:tc>
          <w:tcPr>
            <w:tcW w:w="854" w:type="dxa"/>
            <w:shd w:val="clear" w:color="auto" w:fill="FFFFFF"/>
            <w:vAlign w:val="top"/>
          </w:tcPr>
          <w:p w14:paraId="0DB58E0D">
            <w:pPr>
              <w:spacing w:line="269" w:lineRule="auto"/>
              <w:rPr>
                <w:rFonts w:ascii="Arial"/>
                <w:color w:val="auto"/>
                <w:sz w:val="21"/>
                <w:highlight w:val="none"/>
              </w:rPr>
            </w:pPr>
          </w:p>
          <w:p w14:paraId="33434047">
            <w:pPr>
              <w:spacing w:line="269" w:lineRule="auto"/>
              <w:rPr>
                <w:rFonts w:ascii="Arial"/>
                <w:color w:val="auto"/>
                <w:sz w:val="21"/>
                <w:highlight w:val="none"/>
              </w:rPr>
            </w:pPr>
          </w:p>
          <w:p w14:paraId="31A15EE0">
            <w:pPr>
              <w:spacing w:before="6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20F02252">
            <w:pPr>
              <w:rPr>
                <w:rFonts w:ascii="Arial"/>
                <w:color w:val="auto"/>
                <w:sz w:val="21"/>
                <w:highlight w:val="none"/>
              </w:rPr>
            </w:pPr>
          </w:p>
        </w:tc>
        <w:tc>
          <w:tcPr>
            <w:tcW w:w="855" w:type="dxa"/>
            <w:vAlign w:val="top"/>
          </w:tcPr>
          <w:p w14:paraId="51D950A2">
            <w:pPr>
              <w:rPr>
                <w:rFonts w:ascii="Arial"/>
                <w:color w:val="auto"/>
                <w:sz w:val="21"/>
                <w:highlight w:val="none"/>
              </w:rPr>
            </w:pPr>
          </w:p>
        </w:tc>
      </w:tr>
    </w:tbl>
    <w:p w14:paraId="323F5196">
      <w:pPr>
        <w:pStyle w:val="14"/>
        <w:rPr>
          <w:color w:val="auto"/>
          <w:highlight w:val="none"/>
        </w:rPr>
      </w:pPr>
    </w:p>
    <w:p w14:paraId="7FEC8C0E">
      <w:pPr>
        <w:rPr>
          <w:color w:val="auto"/>
          <w:highlight w:val="none"/>
        </w:rPr>
        <w:sectPr>
          <w:footerReference r:id="rId5" w:type="default"/>
          <w:pgSz w:w="11905" w:h="16839"/>
          <w:pgMar w:top="1167" w:right="0" w:bottom="1198" w:left="0" w:header="826" w:footer="968" w:gutter="0"/>
          <w:pgNumType w:fmt="decimal"/>
          <w:cols w:space="720" w:num="1"/>
        </w:sectPr>
      </w:pPr>
    </w:p>
    <w:tbl>
      <w:tblPr>
        <w:tblStyle w:val="240"/>
        <w:tblpPr w:leftFromText="180" w:rightFromText="180" w:vertAnchor="text" w:horzAnchor="page" w:tblpX="1170" w:tblpY="230"/>
        <w:tblOverlap w:val="never"/>
        <w:tblW w:w="1011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0"/>
        <w:gridCol w:w="1416"/>
        <w:gridCol w:w="5668"/>
        <w:gridCol w:w="854"/>
        <w:gridCol w:w="849"/>
        <w:gridCol w:w="855"/>
      </w:tblGrid>
      <w:tr w14:paraId="4EA4B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trPr>
        <w:tc>
          <w:tcPr>
            <w:tcW w:w="470" w:type="dxa"/>
            <w:tcBorders>
              <w:top w:val="nil"/>
            </w:tcBorders>
            <w:vAlign w:val="top"/>
          </w:tcPr>
          <w:p w14:paraId="6835BC1E">
            <w:pPr>
              <w:spacing w:line="314" w:lineRule="auto"/>
              <w:rPr>
                <w:rFonts w:ascii="Arial"/>
                <w:color w:val="auto"/>
                <w:sz w:val="21"/>
                <w:highlight w:val="none"/>
              </w:rPr>
            </w:pPr>
          </w:p>
          <w:p w14:paraId="776FC428">
            <w:pPr>
              <w:spacing w:before="60" w:line="236"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14</w:t>
            </w:r>
          </w:p>
        </w:tc>
        <w:tc>
          <w:tcPr>
            <w:tcW w:w="1416" w:type="dxa"/>
            <w:tcBorders>
              <w:top w:val="nil"/>
            </w:tcBorders>
            <w:vAlign w:val="top"/>
          </w:tcPr>
          <w:p w14:paraId="5D792310">
            <w:pPr>
              <w:spacing w:line="267" w:lineRule="auto"/>
              <w:rPr>
                <w:rFonts w:ascii="Arial"/>
                <w:color w:val="auto"/>
                <w:sz w:val="21"/>
                <w:highlight w:val="none"/>
              </w:rPr>
            </w:pPr>
          </w:p>
          <w:p w14:paraId="0274EBBB">
            <w:pPr>
              <w:pStyle w:val="239"/>
              <w:spacing w:before="68" w:line="221" w:lineRule="auto"/>
              <w:ind w:left="290"/>
              <w:rPr>
                <w:color w:val="auto"/>
                <w:sz w:val="21"/>
                <w:szCs w:val="21"/>
                <w:highlight w:val="none"/>
              </w:rPr>
            </w:pPr>
            <w:r>
              <w:rPr>
                <w:color w:val="auto"/>
                <w:spacing w:val="-1"/>
                <w:sz w:val="21"/>
                <w:szCs w:val="21"/>
                <w:highlight w:val="none"/>
              </w:rPr>
              <w:t>糕点制作</w:t>
            </w:r>
          </w:p>
        </w:tc>
        <w:tc>
          <w:tcPr>
            <w:tcW w:w="5668" w:type="dxa"/>
            <w:tcBorders>
              <w:top w:val="nil"/>
            </w:tcBorders>
            <w:shd w:val="clear" w:color="auto" w:fill="FFFFFF"/>
            <w:vAlign w:val="top"/>
          </w:tcPr>
          <w:p w14:paraId="60D8FC0C">
            <w:pPr>
              <w:pStyle w:val="239"/>
              <w:spacing w:before="178" w:line="275" w:lineRule="auto"/>
              <w:ind w:left="122" w:right="23" w:hanging="8"/>
              <w:rPr>
                <w:color w:val="auto"/>
                <w:sz w:val="21"/>
                <w:szCs w:val="21"/>
                <w:highlight w:val="none"/>
              </w:rPr>
            </w:pPr>
            <w:r>
              <w:rPr>
                <w:color w:val="auto"/>
                <w:spacing w:val="-6"/>
                <w:sz w:val="21"/>
                <w:szCs w:val="21"/>
                <w:highlight w:val="none"/>
              </w:rPr>
              <w:t>每周面点师客餐应做到有</w:t>
            </w:r>
            <w:r>
              <w:rPr>
                <w:color w:val="auto"/>
                <w:spacing w:val="-31"/>
                <w:sz w:val="21"/>
                <w:szCs w:val="21"/>
                <w:highlight w:val="none"/>
              </w:rPr>
              <w:t xml:space="preserve"> </w:t>
            </w:r>
            <w:r>
              <w:rPr>
                <w:rFonts w:ascii="Times New Roman" w:hAnsi="Times New Roman" w:eastAsia="Times New Roman" w:cs="Times New Roman"/>
                <w:color w:val="auto"/>
                <w:spacing w:val="-6"/>
                <w:sz w:val="21"/>
                <w:szCs w:val="21"/>
                <w:highlight w:val="none"/>
              </w:rPr>
              <w:t xml:space="preserve">5 </w:t>
            </w:r>
            <w:r>
              <w:rPr>
                <w:color w:val="auto"/>
                <w:spacing w:val="-6"/>
                <w:sz w:val="21"/>
                <w:szCs w:val="21"/>
                <w:highlight w:val="none"/>
              </w:rPr>
              <w:t>个以上自制特色糕点，在色、香、</w:t>
            </w:r>
            <w:r>
              <w:rPr>
                <w:color w:val="auto"/>
                <w:spacing w:val="-2"/>
                <w:sz w:val="21"/>
                <w:szCs w:val="21"/>
                <w:highlight w:val="none"/>
              </w:rPr>
              <w:t>味上得到就餐人员相应的肯定，未按要求执行，每次扣</w:t>
            </w:r>
            <w:r>
              <w:rPr>
                <w:color w:val="auto"/>
                <w:spacing w:val="-7"/>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 </w:t>
            </w:r>
            <w:r>
              <w:rPr>
                <w:color w:val="auto"/>
                <w:spacing w:val="-2"/>
                <w:sz w:val="21"/>
                <w:szCs w:val="21"/>
                <w:highlight w:val="none"/>
              </w:rPr>
              <w:t>分</w:t>
            </w:r>
          </w:p>
        </w:tc>
        <w:tc>
          <w:tcPr>
            <w:tcW w:w="854" w:type="dxa"/>
            <w:tcBorders>
              <w:top w:val="nil"/>
            </w:tcBorders>
            <w:vAlign w:val="top"/>
          </w:tcPr>
          <w:p w14:paraId="687C6980">
            <w:pPr>
              <w:spacing w:line="314" w:lineRule="auto"/>
              <w:rPr>
                <w:rFonts w:ascii="Arial"/>
                <w:color w:val="auto"/>
                <w:sz w:val="21"/>
                <w:highlight w:val="none"/>
              </w:rPr>
            </w:pPr>
          </w:p>
          <w:p w14:paraId="2E1DA341">
            <w:pPr>
              <w:spacing w:before="6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tcBorders>
              <w:top w:val="nil"/>
            </w:tcBorders>
            <w:vAlign w:val="top"/>
          </w:tcPr>
          <w:p w14:paraId="179426DD">
            <w:pPr>
              <w:rPr>
                <w:rFonts w:ascii="Arial"/>
                <w:color w:val="auto"/>
                <w:sz w:val="21"/>
                <w:highlight w:val="none"/>
              </w:rPr>
            </w:pPr>
          </w:p>
        </w:tc>
        <w:tc>
          <w:tcPr>
            <w:tcW w:w="855" w:type="dxa"/>
            <w:tcBorders>
              <w:top w:val="nil"/>
            </w:tcBorders>
            <w:vAlign w:val="top"/>
          </w:tcPr>
          <w:p w14:paraId="73EC4F57">
            <w:pPr>
              <w:rPr>
                <w:rFonts w:ascii="Arial"/>
                <w:color w:val="auto"/>
                <w:sz w:val="21"/>
                <w:highlight w:val="none"/>
              </w:rPr>
            </w:pPr>
          </w:p>
        </w:tc>
      </w:tr>
      <w:tr w14:paraId="29B6D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470" w:type="dxa"/>
            <w:vAlign w:val="top"/>
          </w:tcPr>
          <w:p w14:paraId="1E999491">
            <w:pPr>
              <w:spacing w:line="246" w:lineRule="auto"/>
              <w:rPr>
                <w:rFonts w:ascii="Arial"/>
                <w:color w:val="auto"/>
                <w:sz w:val="21"/>
                <w:highlight w:val="none"/>
              </w:rPr>
            </w:pPr>
          </w:p>
          <w:p w14:paraId="5FD01B40">
            <w:pPr>
              <w:spacing w:line="247" w:lineRule="auto"/>
              <w:rPr>
                <w:rFonts w:ascii="Arial"/>
                <w:color w:val="auto"/>
                <w:sz w:val="21"/>
                <w:highlight w:val="none"/>
              </w:rPr>
            </w:pPr>
          </w:p>
          <w:p w14:paraId="4A2EC2C7">
            <w:pPr>
              <w:spacing w:line="247" w:lineRule="auto"/>
              <w:rPr>
                <w:rFonts w:ascii="Arial"/>
                <w:color w:val="auto"/>
                <w:sz w:val="21"/>
                <w:highlight w:val="none"/>
              </w:rPr>
            </w:pPr>
          </w:p>
          <w:p w14:paraId="3C1460E4">
            <w:pPr>
              <w:spacing w:before="60" w:line="234"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15</w:t>
            </w:r>
          </w:p>
        </w:tc>
        <w:tc>
          <w:tcPr>
            <w:tcW w:w="1416" w:type="dxa"/>
            <w:vAlign w:val="top"/>
          </w:tcPr>
          <w:p w14:paraId="02F80655">
            <w:pPr>
              <w:spacing w:line="346" w:lineRule="auto"/>
              <w:rPr>
                <w:rFonts w:ascii="Arial"/>
                <w:color w:val="auto"/>
                <w:sz w:val="21"/>
                <w:highlight w:val="none"/>
              </w:rPr>
            </w:pPr>
          </w:p>
          <w:p w14:paraId="5ED21DDE">
            <w:pPr>
              <w:spacing w:line="346" w:lineRule="auto"/>
              <w:rPr>
                <w:rFonts w:ascii="Arial"/>
                <w:color w:val="auto"/>
                <w:sz w:val="21"/>
                <w:highlight w:val="none"/>
              </w:rPr>
            </w:pPr>
          </w:p>
          <w:p w14:paraId="14427D9B">
            <w:pPr>
              <w:pStyle w:val="239"/>
              <w:spacing w:before="68" w:line="221" w:lineRule="auto"/>
              <w:ind w:left="291"/>
              <w:rPr>
                <w:color w:val="auto"/>
                <w:sz w:val="21"/>
                <w:szCs w:val="21"/>
                <w:highlight w:val="none"/>
              </w:rPr>
            </w:pPr>
            <w:r>
              <w:rPr>
                <w:color w:val="auto"/>
                <w:spacing w:val="-1"/>
                <w:sz w:val="21"/>
                <w:szCs w:val="21"/>
                <w:highlight w:val="none"/>
              </w:rPr>
              <w:t>物资管理</w:t>
            </w:r>
          </w:p>
        </w:tc>
        <w:tc>
          <w:tcPr>
            <w:tcW w:w="5668" w:type="dxa"/>
            <w:shd w:val="clear" w:color="auto" w:fill="FFFFFF"/>
            <w:vAlign w:val="top"/>
          </w:tcPr>
          <w:p w14:paraId="6B7E8C8D">
            <w:pPr>
              <w:pStyle w:val="239"/>
              <w:spacing w:before="141" w:line="278" w:lineRule="auto"/>
              <w:ind w:left="114" w:right="39"/>
              <w:jc w:val="both"/>
              <w:rPr>
                <w:color w:val="auto"/>
                <w:sz w:val="21"/>
                <w:szCs w:val="21"/>
                <w:highlight w:val="none"/>
              </w:rPr>
            </w:pPr>
            <w:r>
              <w:rPr>
                <w:color w:val="auto"/>
                <w:spacing w:val="-7"/>
                <w:sz w:val="21"/>
                <w:szCs w:val="21"/>
                <w:highlight w:val="none"/>
              </w:rPr>
              <w:t>食堂相关易耗品的添置需求应做到准确、及时，</w:t>
            </w:r>
            <w:r>
              <w:rPr>
                <w:color w:val="auto"/>
                <w:spacing w:val="65"/>
                <w:sz w:val="21"/>
                <w:szCs w:val="21"/>
                <w:highlight w:val="none"/>
              </w:rPr>
              <w:t xml:space="preserve"> </w:t>
            </w:r>
            <w:r>
              <w:rPr>
                <w:color w:val="auto"/>
                <w:spacing w:val="-7"/>
                <w:sz w:val="21"/>
                <w:szCs w:val="21"/>
                <w:highlight w:val="none"/>
              </w:rPr>
              <w:t>并且严格控</w:t>
            </w:r>
            <w:r>
              <w:rPr>
                <w:color w:val="auto"/>
                <w:spacing w:val="-6"/>
                <w:sz w:val="21"/>
                <w:szCs w:val="21"/>
                <w:highlight w:val="none"/>
              </w:rPr>
              <w:t>制使用，防止浪费，对原料的品质、纯度、成熟度、新鲜度，</w:t>
            </w:r>
            <w:r>
              <w:rPr>
                <w:color w:val="auto"/>
                <w:sz w:val="21"/>
                <w:szCs w:val="21"/>
                <w:highlight w:val="none"/>
              </w:rPr>
              <w:t>以及原料的清洁卫生等应严格把好质量关，做</w:t>
            </w:r>
            <w:r>
              <w:rPr>
                <w:color w:val="auto"/>
                <w:spacing w:val="-1"/>
                <w:sz w:val="21"/>
                <w:szCs w:val="21"/>
                <w:highlight w:val="none"/>
              </w:rPr>
              <w:t>好入库登记，库房原料实行先进后出制，领料人必须做好出库登记，签字</w:t>
            </w:r>
            <w:r>
              <w:rPr>
                <w:color w:val="auto"/>
                <w:spacing w:val="-2"/>
                <w:sz w:val="21"/>
                <w:szCs w:val="21"/>
                <w:highlight w:val="none"/>
              </w:rPr>
              <w:t>确保无误，不得弄虚作假，每违反一次扣</w:t>
            </w:r>
            <w:r>
              <w:rPr>
                <w:color w:val="auto"/>
                <w:spacing w:val="-22"/>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 </w:t>
            </w:r>
            <w:r>
              <w:rPr>
                <w:color w:val="auto"/>
                <w:spacing w:val="-2"/>
                <w:sz w:val="21"/>
                <w:szCs w:val="21"/>
                <w:highlight w:val="none"/>
              </w:rPr>
              <w:t>分。</w:t>
            </w:r>
          </w:p>
        </w:tc>
        <w:tc>
          <w:tcPr>
            <w:tcW w:w="854" w:type="dxa"/>
            <w:shd w:val="clear" w:color="auto" w:fill="FFFFFF"/>
            <w:vAlign w:val="top"/>
          </w:tcPr>
          <w:p w14:paraId="159EA075">
            <w:pPr>
              <w:spacing w:line="246" w:lineRule="auto"/>
              <w:rPr>
                <w:rFonts w:ascii="Arial"/>
                <w:color w:val="auto"/>
                <w:sz w:val="21"/>
                <w:highlight w:val="none"/>
              </w:rPr>
            </w:pPr>
          </w:p>
          <w:p w14:paraId="08FFC8F7">
            <w:pPr>
              <w:spacing w:line="247" w:lineRule="auto"/>
              <w:rPr>
                <w:rFonts w:ascii="Arial"/>
                <w:color w:val="auto"/>
                <w:sz w:val="21"/>
                <w:highlight w:val="none"/>
              </w:rPr>
            </w:pPr>
          </w:p>
          <w:p w14:paraId="7E429A94">
            <w:pPr>
              <w:spacing w:line="247" w:lineRule="auto"/>
              <w:rPr>
                <w:rFonts w:ascii="Arial"/>
                <w:color w:val="auto"/>
                <w:sz w:val="21"/>
                <w:highlight w:val="none"/>
              </w:rPr>
            </w:pPr>
          </w:p>
          <w:p w14:paraId="16BA6FB7">
            <w:pPr>
              <w:spacing w:before="6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2D64EA71">
            <w:pPr>
              <w:rPr>
                <w:rFonts w:ascii="Arial"/>
                <w:color w:val="auto"/>
                <w:sz w:val="21"/>
                <w:highlight w:val="none"/>
              </w:rPr>
            </w:pPr>
          </w:p>
        </w:tc>
        <w:tc>
          <w:tcPr>
            <w:tcW w:w="855" w:type="dxa"/>
            <w:vAlign w:val="top"/>
          </w:tcPr>
          <w:p w14:paraId="41040B0E">
            <w:pPr>
              <w:rPr>
                <w:rFonts w:ascii="Arial"/>
                <w:color w:val="auto"/>
                <w:sz w:val="21"/>
                <w:highlight w:val="none"/>
              </w:rPr>
            </w:pPr>
          </w:p>
        </w:tc>
      </w:tr>
      <w:tr w14:paraId="54AB0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310" w:hRule="atLeast"/>
        </w:trPr>
        <w:tc>
          <w:tcPr>
            <w:tcW w:w="470" w:type="dxa"/>
            <w:vAlign w:val="top"/>
          </w:tcPr>
          <w:p w14:paraId="7E9F4953">
            <w:pPr>
              <w:spacing w:line="260" w:lineRule="auto"/>
              <w:rPr>
                <w:rFonts w:ascii="Arial"/>
                <w:color w:val="auto"/>
                <w:sz w:val="21"/>
                <w:highlight w:val="none"/>
              </w:rPr>
            </w:pPr>
          </w:p>
          <w:p w14:paraId="1A1E0E01">
            <w:pPr>
              <w:spacing w:line="261" w:lineRule="auto"/>
              <w:rPr>
                <w:rFonts w:ascii="Arial"/>
                <w:color w:val="auto"/>
                <w:sz w:val="21"/>
                <w:highlight w:val="none"/>
              </w:rPr>
            </w:pPr>
          </w:p>
          <w:p w14:paraId="619E30B5">
            <w:pPr>
              <w:spacing w:before="61" w:line="234"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16</w:t>
            </w:r>
          </w:p>
        </w:tc>
        <w:tc>
          <w:tcPr>
            <w:tcW w:w="1416" w:type="dxa"/>
            <w:vAlign w:val="top"/>
          </w:tcPr>
          <w:p w14:paraId="66CF4FCA">
            <w:pPr>
              <w:spacing w:line="474" w:lineRule="auto"/>
              <w:rPr>
                <w:rFonts w:ascii="Arial"/>
                <w:color w:val="auto"/>
                <w:sz w:val="21"/>
                <w:highlight w:val="none"/>
              </w:rPr>
            </w:pPr>
          </w:p>
          <w:p w14:paraId="343174EA">
            <w:pPr>
              <w:pStyle w:val="239"/>
              <w:spacing w:before="68" w:line="221" w:lineRule="auto"/>
              <w:ind w:left="293"/>
              <w:rPr>
                <w:color w:val="auto"/>
                <w:sz w:val="21"/>
                <w:szCs w:val="21"/>
                <w:highlight w:val="none"/>
              </w:rPr>
            </w:pPr>
            <w:r>
              <w:rPr>
                <w:color w:val="auto"/>
                <w:spacing w:val="-1"/>
                <w:sz w:val="21"/>
                <w:szCs w:val="21"/>
                <w:highlight w:val="none"/>
              </w:rPr>
              <w:t>餐厅服务</w:t>
            </w:r>
          </w:p>
        </w:tc>
        <w:tc>
          <w:tcPr>
            <w:tcW w:w="5668" w:type="dxa"/>
            <w:shd w:val="clear" w:color="auto" w:fill="FFFFFF"/>
            <w:vAlign w:val="top"/>
          </w:tcPr>
          <w:p w14:paraId="0C5D8824">
            <w:pPr>
              <w:pStyle w:val="239"/>
              <w:spacing w:before="80" w:line="268" w:lineRule="auto"/>
              <w:ind w:left="114" w:right="97"/>
              <w:jc w:val="both"/>
              <w:rPr>
                <w:color w:val="auto"/>
                <w:sz w:val="21"/>
                <w:szCs w:val="21"/>
                <w:highlight w:val="none"/>
              </w:rPr>
            </w:pPr>
            <w:r>
              <w:rPr>
                <w:color w:val="auto"/>
                <w:spacing w:val="-1"/>
                <w:sz w:val="21"/>
                <w:szCs w:val="21"/>
                <w:highlight w:val="none"/>
              </w:rPr>
              <w:t>开餐前物品摆放，餐桌摆台等及时规范，餐中服务：礼仪规</w:t>
            </w:r>
            <w:r>
              <w:rPr>
                <w:color w:val="auto"/>
                <w:spacing w:val="-2"/>
                <w:sz w:val="21"/>
                <w:szCs w:val="21"/>
                <w:highlight w:val="none"/>
              </w:rPr>
              <w:t>范、服务准确；餐后工作：及时和就餐人员核对账单</w:t>
            </w:r>
            <w:r>
              <w:rPr>
                <w:color w:val="auto"/>
                <w:spacing w:val="-3"/>
                <w:sz w:val="21"/>
                <w:szCs w:val="21"/>
                <w:highlight w:val="none"/>
              </w:rPr>
              <w:t>，每月</w:t>
            </w:r>
            <w:r>
              <w:rPr>
                <w:color w:val="auto"/>
                <w:spacing w:val="7"/>
                <w:sz w:val="21"/>
                <w:szCs w:val="21"/>
                <w:highlight w:val="none"/>
              </w:rPr>
              <w:t>26日前将本月就餐表上报，根据卫生标准彻底清理餐厅并</w:t>
            </w:r>
            <w:r>
              <w:rPr>
                <w:color w:val="auto"/>
                <w:spacing w:val="-1"/>
                <w:sz w:val="21"/>
                <w:szCs w:val="21"/>
                <w:highlight w:val="none"/>
              </w:rPr>
              <w:t>做好下次用餐的准备工作。未达到要求每一次扣</w:t>
            </w:r>
            <w:r>
              <w:rPr>
                <w:color w:val="auto"/>
                <w:spacing w:val="-47"/>
                <w:sz w:val="21"/>
                <w:szCs w:val="21"/>
                <w:highlight w:val="none"/>
              </w:rPr>
              <w:t xml:space="preserve"> </w:t>
            </w:r>
            <w:r>
              <w:rPr>
                <w:rFonts w:ascii="Times New Roman" w:hAnsi="Times New Roman" w:eastAsia="Times New Roman" w:cs="Times New Roman"/>
                <w:color w:val="auto"/>
                <w:spacing w:val="-2"/>
                <w:sz w:val="21"/>
                <w:szCs w:val="21"/>
                <w:highlight w:val="none"/>
              </w:rPr>
              <w:t xml:space="preserve">0.5 </w:t>
            </w:r>
            <w:r>
              <w:rPr>
                <w:color w:val="auto"/>
                <w:spacing w:val="-2"/>
                <w:sz w:val="21"/>
                <w:szCs w:val="21"/>
                <w:highlight w:val="none"/>
              </w:rPr>
              <w:t>分；</w:t>
            </w:r>
          </w:p>
        </w:tc>
        <w:tc>
          <w:tcPr>
            <w:tcW w:w="854" w:type="dxa"/>
            <w:shd w:val="clear" w:color="auto" w:fill="FFFFFF"/>
            <w:vAlign w:val="top"/>
          </w:tcPr>
          <w:p w14:paraId="00040CAB">
            <w:pPr>
              <w:spacing w:line="260" w:lineRule="auto"/>
              <w:rPr>
                <w:rFonts w:ascii="Arial"/>
                <w:color w:val="auto"/>
                <w:sz w:val="21"/>
                <w:highlight w:val="none"/>
              </w:rPr>
            </w:pPr>
          </w:p>
          <w:p w14:paraId="6045540D">
            <w:pPr>
              <w:spacing w:line="261" w:lineRule="auto"/>
              <w:rPr>
                <w:rFonts w:ascii="Arial"/>
                <w:color w:val="auto"/>
                <w:sz w:val="21"/>
                <w:highlight w:val="none"/>
              </w:rPr>
            </w:pPr>
          </w:p>
          <w:p w14:paraId="1EE4C22B">
            <w:pPr>
              <w:spacing w:before="61" w:line="234" w:lineRule="auto"/>
              <w:ind w:left="34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w:t>
            </w:r>
          </w:p>
        </w:tc>
        <w:tc>
          <w:tcPr>
            <w:tcW w:w="849" w:type="dxa"/>
            <w:vAlign w:val="top"/>
          </w:tcPr>
          <w:p w14:paraId="2CECCD78">
            <w:pPr>
              <w:rPr>
                <w:rFonts w:ascii="Arial"/>
                <w:color w:val="auto"/>
                <w:sz w:val="21"/>
                <w:highlight w:val="none"/>
              </w:rPr>
            </w:pPr>
          </w:p>
        </w:tc>
        <w:tc>
          <w:tcPr>
            <w:tcW w:w="855" w:type="dxa"/>
            <w:vAlign w:val="top"/>
          </w:tcPr>
          <w:p w14:paraId="63F13175">
            <w:pPr>
              <w:rPr>
                <w:rFonts w:ascii="Arial"/>
                <w:color w:val="auto"/>
                <w:sz w:val="21"/>
                <w:highlight w:val="none"/>
              </w:rPr>
            </w:pPr>
          </w:p>
        </w:tc>
      </w:tr>
      <w:tr w14:paraId="562B6B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470" w:type="dxa"/>
            <w:vAlign w:val="top"/>
          </w:tcPr>
          <w:p w14:paraId="51B1182C">
            <w:pPr>
              <w:spacing w:line="336" w:lineRule="auto"/>
              <w:rPr>
                <w:rFonts w:ascii="Arial"/>
                <w:color w:val="auto"/>
                <w:sz w:val="21"/>
                <w:highlight w:val="none"/>
              </w:rPr>
            </w:pPr>
          </w:p>
          <w:p w14:paraId="73551AD3">
            <w:pPr>
              <w:spacing w:before="61" w:line="233" w:lineRule="auto"/>
              <w:ind w:left="1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17</w:t>
            </w:r>
          </w:p>
        </w:tc>
        <w:tc>
          <w:tcPr>
            <w:tcW w:w="1416" w:type="dxa"/>
            <w:vAlign w:val="top"/>
          </w:tcPr>
          <w:p w14:paraId="6CCD6876">
            <w:pPr>
              <w:spacing w:line="289" w:lineRule="auto"/>
              <w:rPr>
                <w:rFonts w:ascii="Arial"/>
                <w:color w:val="auto"/>
                <w:sz w:val="21"/>
                <w:highlight w:val="none"/>
              </w:rPr>
            </w:pPr>
          </w:p>
          <w:p w14:paraId="31E786CA">
            <w:pPr>
              <w:pStyle w:val="239"/>
              <w:spacing w:before="68" w:line="221" w:lineRule="auto"/>
              <w:ind w:left="291"/>
              <w:rPr>
                <w:color w:val="auto"/>
                <w:sz w:val="21"/>
                <w:szCs w:val="21"/>
                <w:highlight w:val="none"/>
              </w:rPr>
            </w:pPr>
            <w:r>
              <w:rPr>
                <w:color w:val="auto"/>
                <w:spacing w:val="-1"/>
                <w:sz w:val="21"/>
                <w:szCs w:val="21"/>
                <w:highlight w:val="none"/>
              </w:rPr>
              <w:t>相关工作</w:t>
            </w:r>
          </w:p>
        </w:tc>
        <w:tc>
          <w:tcPr>
            <w:tcW w:w="5668" w:type="dxa"/>
            <w:vAlign w:val="top"/>
          </w:tcPr>
          <w:p w14:paraId="7AC31A9D">
            <w:pPr>
              <w:pStyle w:val="239"/>
              <w:spacing w:before="205" w:line="283" w:lineRule="auto"/>
              <w:ind w:left="119" w:right="99" w:hanging="5"/>
              <w:rPr>
                <w:color w:val="auto"/>
                <w:sz w:val="21"/>
                <w:szCs w:val="21"/>
                <w:highlight w:val="none"/>
              </w:rPr>
            </w:pPr>
            <w:r>
              <w:rPr>
                <w:color w:val="auto"/>
                <w:spacing w:val="-1"/>
                <w:sz w:val="21"/>
                <w:szCs w:val="21"/>
                <w:highlight w:val="none"/>
              </w:rPr>
              <w:t>做好食安委的检查和创文创卫相关工作，为按要求落实的每</w:t>
            </w:r>
            <w:r>
              <w:rPr>
                <w:color w:val="auto"/>
                <w:spacing w:val="-6"/>
                <w:sz w:val="21"/>
                <w:szCs w:val="21"/>
                <w:highlight w:val="none"/>
              </w:rPr>
              <w:t>次扣</w:t>
            </w:r>
            <w:r>
              <w:rPr>
                <w:color w:val="auto"/>
                <w:spacing w:val="-41"/>
                <w:sz w:val="21"/>
                <w:szCs w:val="21"/>
                <w:highlight w:val="none"/>
              </w:rPr>
              <w:t xml:space="preserve"> </w:t>
            </w:r>
            <w:r>
              <w:rPr>
                <w:rFonts w:ascii="Times New Roman" w:hAnsi="Times New Roman" w:eastAsia="Times New Roman" w:cs="Times New Roman"/>
                <w:color w:val="auto"/>
                <w:spacing w:val="-6"/>
                <w:sz w:val="21"/>
                <w:szCs w:val="21"/>
                <w:highlight w:val="none"/>
              </w:rPr>
              <w:t>0.5</w:t>
            </w:r>
            <w:r>
              <w:rPr>
                <w:rFonts w:ascii="Times New Roman" w:hAnsi="Times New Roman" w:eastAsia="Times New Roman" w:cs="Times New Roman"/>
                <w:color w:val="auto"/>
                <w:spacing w:val="11"/>
                <w:sz w:val="21"/>
                <w:szCs w:val="21"/>
                <w:highlight w:val="none"/>
              </w:rPr>
              <w:t xml:space="preserve"> </w:t>
            </w:r>
            <w:r>
              <w:rPr>
                <w:color w:val="auto"/>
                <w:spacing w:val="-6"/>
                <w:sz w:val="21"/>
                <w:szCs w:val="21"/>
                <w:highlight w:val="none"/>
              </w:rPr>
              <w:t>分。</w:t>
            </w:r>
          </w:p>
        </w:tc>
        <w:tc>
          <w:tcPr>
            <w:tcW w:w="854" w:type="dxa"/>
            <w:vAlign w:val="top"/>
          </w:tcPr>
          <w:p w14:paraId="20FC7A55">
            <w:pPr>
              <w:spacing w:line="336" w:lineRule="auto"/>
              <w:rPr>
                <w:rFonts w:ascii="Arial"/>
                <w:color w:val="auto"/>
                <w:sz w:val="21"/>
                <w:highlight w:val="none"/>
              </w:rPr>
            </w:pPr>
          </w:p>
          <w:p w14:paraId="007279C4">
            <w:pPr>
              <w:spacing w:before="60" w:line="234" w:lineRule="auto"/>
              <w:ind w:left="38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9" w:type="dxa"/>
            <w:vAlign w:val="top"/>
          </w:tcPr>
          <w:p w14:paraId="7C8C90ED">
            <w:pPr>
              <w:rPr>
                <w:rFonts w:ascii="Arial"/>
                <w:color w:val="auto"/>
                <w:sz w:val="21"/>
                <w:highlight w:val="none"/>
              </w:rPr>
            </w:pPr>
          </w:p>
        </w:tc>
        <w:tc>
          <w:tcPr>
            <w:tcW w:w="855" w:type="dxa"/>
            <w:vAlign w:val="top"/>
          </w:tcPr>
          <w:p w14:paraId="0502D6CB">
            <w:pPr>
              <w:rPr>
                <w:rFonts w:ascii="Arial"/>
                <w:color w:val="auto"/>
                <w:sz w:val="21"/>
                <w:highlight w:val="none"/>
              </w:rPr>
            </w:pPr>
          </w:p>
        </w:tc>
      </w:tr>
      <w:tr w14:paraId="01DA9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7554" w:type="dxa"/>
            <w:gridSpan w:val="3"/>
            <w:vAlign w:val="top"/>
          </w:tcPr>
          <w:p w14:paraId="76C5362C">
            <w:pPr>
              <w:pStyle w:val="239"/>
              <w:spacing w:before="263" w:line="222" w:lineRule="auto"/>
              <w:ind w:left="3581"/>
              <w:rPr>
                <w:color w:val="auto"/>
                <w:sz w:val="21"/>
                <w:szCs w:val="21"/>
                <w:highlight w:val="none"/>
              </w:rPr>
            </w:pPr>
            <w:r>
              <w:rPr>
                <w:color w:val="auto"/>
                <w:spacing w:val="-2"/>
                <w:sz w:val="21"/>
                <w:szCs w:val="21"/>
                <w:highlight w:val="none"/>
              </w:rPr>
              <w:t>合计</w:t>
            </w:r>
          </w:p>
        </w:tc>
        <w:tc>
          <w:tcPr>
            <w:tcW w:w="854" w:type="dxa"/>
            <w:vAlign w:val="top"/>
          </w:tcPr>
          <w:p w14:paraId="2F71357B">
            <w:pPr>
              <w:spacing w:line="241" w:lineRule="auto"/>
              <w:rPr>
                <w:rFonts w:ascii="Arial"/>
                <w:color w:val="auto"/>
                <w:sz w:val="21"/>
                <w:highlight w:val="none"/>
              </w:rPr>
            </w:pPr>
          </w:p>
          <w:p w14:paraId="122BCCE3">
            <w:pPr>
              <w:spacing w:before="60" w:line="234" w:lineRule="auto"/>
              <w:ind w:left="29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100</w:t>
            </w:r>
          </w:p>
        </w:tc>
        <w:tc>
          <w:tcPr>
            <w:tcW w:w="849" w:type="dxa"/>
            <w:vAlign w:val="top"/>
          </w:tcPr>
          <w:p w14:paraId="603D7F8B">
            <w:pPr>
              <w:rPr>
                <w:rFonts w:ascii="Arial"/>
                <w:color w:val="auto"/>
                <w:sz w:val="21"/>
                <w:highlight w:val="none"/>
              </w:rPr>
            </w:pPr>
          </w:p>
        </w:tc>
        <w:tc>
          <w:tcPr>
            <w:tcW w:w="855" w:type="dxa"/>
            <w:vAlign w:val="top"/>
          </w:tcPr>
          <w:p w14:paraId="50DDF8C9">
            <w:pPr>
              <w:rPr>
                <w:rFonts w:ascii="Arial"/>
                <w:color w:val="auto"/>
                <w:sz w:val="21"/>
                <w:highlight w:val="none"/>
              </w:rPr>
            </w:pPr>
          </w:p>
        </w:tc>
      </w:tr>
      <w:tr w14:paraId="57402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10112" w:type="dxa"/>
            <w:gridSpan w:val="6"/>
            <w:vAlign w:val="top"/>
          </w:tcPr>
          <w:p w14:paraId="5DB1BB6C">
            <w:pPr>
              <w:spacing w:line="256" w:lineRule="auto"/>
              <w:rPr>
                <w:rFonts w:ascii="Arial"/>
                <w:color w:val="auto"/>
                <w:sz w:val="21"/>
                <w:highlight w:val="none"/>
              </w:rPr>
            </w:pPr>
          </w:p>
          <w:p w14:paraId="46FCF628">
            <w:pPr>
              <w:pStyle w:val="239"/>
              <w:spacing w:before="68" w:line="221" w:lineRule="auto"/>
              <w:ind w:left="118"/>
              <w:rPr>
                <w:color w:val="auto"/>
                <w:sz w:val="21"/>
                <w:szCs w:val="21"/>
                <w:highlight w:val="none"/>
              </w:rPr>
            </w:pPr>
            <w:r>
              <w:rPr>
                <w:color w:val="auto"/>
                <w:sz w:val="21"/>
                <w:szCs w:val="21"/>
                <w:highlight w:val="none"/>
              </w:rPr>
              <w:t>被考核人签名：                     分管主管签名</w:t>
            </w:r>
            <w:r>
              <w:rPr>
                <w:color w:val="auto"/>
                <w:spacing w:val="-1"/>
                <w:sz w:val="21"/>
                <w:szCs w:val="21"/>
                <w:highlight w:val="none"/>
              </w:rPr>
              <w:t>：                   办公室领导签名：</w:t>
            </w:r>
          </w:p>
        </w:tc>
      </w:tr>
    </w:tbl>
    <w:p w14:paraId="4F1CD39E">
      <w:pPr>
        <w:spacing w:before="31"/>
        <w:rPr>
          <w:color w:val="auto"/>
          <w:highlight w:val="none"/>
        </w:rPr>
      </w:pPr>
    </w:p>
    <w:p w14:paraId="29DE9299">
      <w:pPr>
        <w:pStyle w:val="14"/>
        <w:rPr>
          <w:color w:val="auto"/>
          <w:highlight w:val="none"/>
        </w:rPr>
      </w:pPr>
    </w:p>
    <w:p w14:paraId="64AF8379">
      <w:pPr>
        <w:rPr>
          <w:color w:val="auto"/>
          <w:highlight w:val="none"/>
        </w:rPr>
        <w:sectPr>
          <w:footerReference r:id="rId6" w:type="default"/>
          <w:pgSz w:w="11905" w:h="16839"/>
          <w:pgMar w:top="1167" w:right="1191" w:bottom="1198" w:left="1191" w:header="826" w:footer="968" w:gutter="0"/>
          <w:pgNumType w:fmt="decimal"/>
          <w:cols w:space="720" w:num="1"/>
        </w:sectPr>
      </w:pPr>
    </w:p>
    <w:p w14:paraId="1E995BC1">
      <w:pPr>
        <w:pStyle w:val="14"/>
        <w:spacing w:line="339" w:lineRule="auto"/>
        <w:rPr>
          <w:color w:val="auto"/>
          <w:highlight w:val="none"/>
        </w:rPr>
      </w:pPr>
    </w:p>
    <w:p w14:paraId="1C33461A">
      <w:pPr>
        <w:spacing w:before="104" w:line="220" w:lineRule="auto"/>
        <w:ind w:left="3580"/>
        <w:rPr>
          <w:rFonts w:ascii="黑体" w:hAnsi="黑体" w:eastAsia="黑体" w:cs="黑体"/>
          <w:color w:val="auto"/>
          <w:sz w:val="32"/>
          <w:szCs w:val="32"/>
          <w:highlight w:val="none"/>
        </w:rPr>
      </w:pPr>
      <w:r>
        <w:rPr>
          <w:rFonts w:ascii="黑体" w:hAnsi="黑体" w:eastAsia="黑体" w:cs="黑体"/>
          <w:color w:val="auto"/>
          <w:spacing w:val="-8"/>
          <w:sz w:val="32"/>
          <w:szCs w:val="32"/>
          <w:highlight w:val="none"/>
        </w:rPr>
        <w:t>食 堂</w:t>
      </w:r>
      <w:r>
        <w:rPr>
          <w:rFonts w:ascii="黑体" w:hAnsi="黑体" w:eastAsia="黑体" w:cs="黑体"/>
          <w:color w:val="auto"/>
          <w:spacing w:val="18"/>
          <w:sz w:val="32"/>
          <w:szCs w:val="32"/>
          <w:highlight w:val="none"/>
        </w:rPr>
        <w:t xml:space="preserve"> </w:t>
      </w:r>
      <w:r>
        <w:rPr>
          <w:rFonts w:ascii="黑体" w:hAnsi="黑体" w:eastAsia="黑体" w:cs="黑体"/>
          <w:color w:val="auto"/>
          <w:spacing w:val="-8"/>
          <w:sz w:val="32"/>
          <w:szCs w:val="32"/>
          <w:highlight w:val="none"/>
        </w:rPr>
        <w:t>满</w:t>
      </w:r>
      <w:r>
        <w:rPr>
          <w:rFonts w:ascii="黑体" w:hAnsi="黑体" w:eastAsia="黑体" w:cs="黑体"/>
          <w:color w:val="auto"/>
          <w:spacing w:val="13"/>
          <w:sz w:val="32"/>
          <w:szCs w:val="32"/>
          <w:highlight w:val="none"/>
        </w:rPr>
        <w:t xml:space="preserve"> </w:t>
      </w:r>
      <w:r>
        <w:rPr>
          <w:rFonts w:ascii="黑体" w:hAnsi="黑体" w:eastAsia="黑体" w:cs="黑体"/>
          <w:color w:val="auto"/>
          <w:spacing w:val="-8"/>
          <w:sz w:val="32"/>
          <w:szCs w:val="32"/>
          <w:highlight w:val="none"/>
        </w:rPr>
        <w:t>意</w:t>
      </w:r>
      <w:r>
        <w:rPr>
          <w:rFonts w:ascii="黑体" w:hAnsi="黑体" w:eastAsia="黑体" w:cs="黑体"/>
          <w:color w:val="auto"/>
          <w:spacing w:val="11"/>
          <w:sz w:val="32"/>
          <w:szCs w:val="32"/>
          <w:highlight w:val="none"/>
        </w:rPr>
        <w:t xml:space="preserve"> </w:t>
      </w:r>
      <w:r>
        <w:rPr>
          <w:rFonts w:ascii="黑体" w:hAnsi="黑体" w:eastAsia="黑体" w:cs="黑体"/>
          <w:color w:val="auto"/>
          <w:spacing w:val="-8"/>
          <w:sz w:val="32"/>
          <w:szCs w:val="32"/>
          <w:highlight w:val="none"/>
        </w:rPr>
        <w:t>度</w:t>
      </w:r>
      <w:r>
        <w:rPr>
          <w:rFonts w:ascii="黑体" w:hAnsi="黑体" w:eastAsia="黑体" w:cs="黑体"/>
          <w:color w:val="auto"/>
          <w:spacing w:val="9"/>
          <w:sz w:val="32"/>
          <w:szCs w:val="32"/>
          <w:highlight w:val="none"/>
        </w:rPr>
        <w:t xml:space="preserve"> </w:t>
      </w:r>
      <w:r>
        <w:rPr>
          <w:rFonts w:ascii="黑体" w:hAnsi="黑体" w:eastAsia="黑体" w:cs="黑体"/>
          <w:color w:val="auto"/>
          <w:spacing w:val="-8"/>
          <w:sz w:val="32"/>
          <w:szCs w:val="32"/>
          <w:highlight w:val="none"/>
        </w:rPr>
        <w:t>测</w:t>
      </w:r>
      <w:r>
        <w:rPr>
          <w:rFonts w:ascii="黑体" w:hAnsi="黑体" w:eastAsia="黑体" w:cs="黑体"/>
          <w:color w:val="auto"/>
          <w:spacing w:val="6"/>
          <w:sz w:val="32"/>
          <w:szCs w:val="32"/>
          <w:highlight w:val="none"/>
        </w:rPr>
        <w:t xml:space="preserve">  </w:t>
      </w:r>
      <w:r>
        <w:rPr>
          <w:rFonts w:ascii="黑体" w:hAnsi="黑体" w:eastAsia="黑体" w:cs="黑体"/>
          <w:color w:val="auto"/>
          <w:spacing w:val="-8"/>
          <w:sz w:val="32"/>
          <w:szCs w:val="32"/>
          <w:highlight w:val="none"/>
        </w:rPr>
        <w:t>评</w:t>
      </w:r>
      <w:r>
        <w:rPr>
          <w:rFonts w:ascii="黑体" w:hAnsi="黑体" w:eastAsia="黑体" w:cs="黑体"/>
          <w:color w:val="auto"/>
          <w:spacing w:val="17"/>
          <w:sz w:val="32"/>
          <w:szCs w:val="32"/>
          <w:highlight w:val="none"/>
        </w:rPr>
        <w:t xml:space="preserve"> </w:t>
      </w:r>
      <w:r>
        <w:rPr>
          <w:rFonts w:ascii="黑体" w:hAnsi="黑体" w:eastAsia="黑体" w:cs="黑体"/>
          <w:color w:val="auto"/>
          <w:spacing w:val="-8"/>
          <w:sz w:val="32"/>
          <w:szCs w:val="32"/>
          <w:highlight w:val="none"/>
        </w:rPr>
        <w:t>表</w:t>
      </w:r>
    </w:p>
    <w:p w14:paraId="2787184A">
      <w:pPr>
        <w:pStyle w:val="14"/>
        <w:spacing w:line="314" w:lineRule="auto"/>
        <w:rPr>
          <w:color w:val="auto"/>
          <w:highlight w:val="none"/>
        </w:rPr>
      </w:pPr>
    </w:p>
    <w:p w14:paraId="3B638A42">
      <w:pPr>
        <w:spacing w:before="72" w:line="220" w:lineRule="auto"/>
        <w:ind w:left="8609"/>
        <w:rPr>
          <w:rFonts w:ascii="宋体" w:hAnsi="宋体" w:eastAsia="宋体" w:cs="宋体"/>
          <w:color w:val="auto"/>
          <w:sz w:val="22"/>
          <w:szCs w:val="22"/>
          <w:highlight w:val="none"/>
        </w:rPr>
      </w:pPr>
      <w:r>
        <w:rPr>
          <w:rFonts w:ascii="宋体" w:hAnsi="宋体" w:eastAsia="宋体" w:cs="宋体"/>
          <w:color w:val="auto"/>
          <w:spacing w:val="-8"/>
          <w:sz w:val="22"/>
          <w:szCs w:val="22"/>
          <w:highlight w:val="none"/>
        </w:rPr>
        <w:t>年</w:t>
      </w:r>
      <w:r>
        <w:rPr>
          <w:rFonts w:ascii="宋体" w:hAnsi="宋体" w:eastAsia="宋体" w:cs="宋体"/>
          <w:color w:val="auto"/>
          <w:spacing w:val="5"/>
          <w:sz w:val="22"/>
          <w:szCs w:val="22"/>
          <w:highlight w:val="none"/>
        </w:rPr>
        <w:t xml:space="preserve">   </w:t>
      </w:r>
      <w:r>
        <w:rPr>
          <w:rFonts w:ascii="宋体" w:hAnsi="宋体" w:eastAsia="宋体" w:cs="宋体"/>
          <w:color w:val="auto"/>
          <w:spacing w:val="-8"/>
          <w:sz w:val="22"/>
          <w:szCs w:val="22"/>
          <w:highlight w:val="none"/>
        </w:rPr>
        <w:t>月</w:t>
      </w:r>
      <w:r>
        <w:rPr>
          <w:rFonts w:ascii="宋体" w:hAnsi="宋体" w:eastAsia="宋体" w:cs="宋体"/>
          <w:color w:val="auto"/>
          <w:spacing w:val="16"/>
          <w:sz w:val="22"/>
          <w:szCs w:val="22"/>
          <w:highlight w:val="none"/>
        </w:rPr>
        <w:t xml:space="preserve">   </w:t>
      </w:r>
      <w:r>
        <w:rPr>
          <w:rFonts w:ascii="宋体" w:hAnsi="宋体" w:eastAsia="宋体" w:cs="宋体"/>
          <w:color w:val="auto"/>
          <w:spacing w:val="-8"/>
          <w:sz w:val="22"/>
          <w:szCs w:val="22"/>
          <w:highlight w:val="none"/>
        </w:rPr>
        <w:t>日</w:t>
      </w:r>
    </w:p>
    <w:p w14:paraId="08E0523E">
      <w:pPr>
        <w:spacing w:line="205" w:lineRule="exact"/>
        <w:rPr>
          <w:color w:val="auto"/>
          <w:highlight w:val="none"/>
        </w:rPr>
      </w:pPr>
    </w:p>
    <w:tbl>
      <w:tblPr>
        <w:tblStyle w:val="240"/>
        <w:tblW w:w="9430" w:type="dxa"/>
        <w:tblInd w:w="1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9"/>
        <w:gridCol w:w="1344"/>
        <w:gridCol w:w="816"/>
        <w:gridCol w:w="1080"/>
        <w:gridCol w:w="1079"/>
        <w:gridCol w:w="1080"/>
        <w:gridCol w:w="1392"/>
        <w:gridCol w:w="1550"/>
      </w:tblGrid>
      <w:tr w14:paraId="77A41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430" w:type="dxa"/>
            <w:gridSpan w:val="8"/>
            <w:vAlign w:val="top"/>
          </w:tcPr>
          <w:p w14:paraId="7B37CD41">
            <w:pPr>
              <w:pStyle w:val="239"/>
              <w:spacing w:before="104" w:line="258" w:lineRule="auto"/>
              <w:ind w:left="30" w:right="17" w:firstLine="440"/>
              <w:rPr>
                <w:color w:val="auto"/>
                <w:sz w:val="22"/>
                <w:szCs w:val="22"/>
                <w:highlight w:val="none"/>
              </w:rPr>
            </w:pPr>
            <w:r>
              <w:rPr>
                <w:color w:val="auto"/>
                <w:spacing w:val="-2"/>
                <w:sz w:val="22"/>
                <w:szCs w:val="22"/>
                <w:highlight w:val="none"/>
              </w:rPr>
              <w:t>您好！为了完善食堂管理，持续提高服务质量，特发放此表，此表为不记名打分表，希</w:t>
            </w:r>
            <w:r>
              <w:rPr>
                <w:color w:val="auto"/>
                <w:spacing w:val="-3"/>
                <w:sz w:val="22"/>
                <w:szCs w:val="22"/>
                <w:highlight w:val="none"/>
              </w:rPr>
              <w:t>望大家</w:t>
            </w:r>
            <w:r>
              <w:rPr>
                <w:color w:val="auto"/>
                <w:spacing w:val="-8"/>
                <w:sz w:val="22"/>
                <w:szCs w:val="22"/>
                <w:highlight w:val="none"/>
              </w:rPr>
              <w:t>从实际出发，积极配合，认真、详实的填写，</w:t>
            </w:r>
            <w:r>
              <w:rPr>
                <w:color w:val="auto"/>
                <w:spacing w:val="59"/>
                <w:sz w:val="22"/>
                <w:szCs w:val="22"/>
                <w:highlight w:val="none"/>
              </w:rPr>
              <w:t xml:space="preserve"> </w:t>
            </w:r>
            <w:r>
              <w:rPr>
                <w:color w:val="auto"/>
                <w:spacing w:val="-8"/>
                <w:sz w:val="22"/>
                <w:szCs w:val="22"/>
                <w:highlight w:val="none"/>
              </w:rPr>
              <w:t>谢谢配合！</w:t>
            </w:r>
          </w:p>
        </w:tc>
      </w:tr>
      <w:tr w14:paraId="064A1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1089" w:type="dxa"/>
            <w:vMerge w:val="restart"/>
            <w:tcBorders>
              <w:bottom w:val="nil"/>
            </w:tcBorders>
            <w:vAlign w:val="top"/>
          </w:tcPr>
          <w:p w14:paraId="0125DDDA">
            <w:pPr>
              <w:spacing w:line="300" w:lineRule="auto"/>
              <w:rPr>
                <w:rFonts w:ascii="Arial"/>
                <w:color w:val="auto"/>
                <w:sz w:val="21"/>
                <w:highlight w:val="none"/>
              </w:rPr>
            </w:pPr>
          </w:p>
          <w:p w14:paraId="61E3868E">
            <w:pPr>
              <w:spacing w:line="300" w:lineRule="auto"/>
              <w:rPr>
                <w:rFonts w:ascii="Arial"/>
                <w:color w:val="auto"/>
                <w:sz w:val="21"/>
                <w:highlight w:val="none"/>
              </w:rPr>
            </w:pPr>
          </w:p>
          <w:p w14:paraId="0D78C900">
            <w:pPr>
              <w:spacing w:line="300" w:lineRule="auto"/>
              <w:rPr>
                <w:rFonts w:ascii="Arial"/>
                <w:color w:val="auto"/>
                <w:sz w:val="21"/>
                <w:highlight w:val="none"/>
              </w:rPr>
            </w:pPr>
          </w:p>
          <w:p w14:paraId="29CA863B">
            <w:pPr>
              <w:pStyle w:val="239"/>
              <w:spacing w:before="71" w:line="221" w:lineRule="auto"/>
              <w:ind w:left="113"/>
              <w:rPr>
                <w:color w:val="auto"/>
                <w:sz w:val="22"/>
                <w:szCs w:val="22"/>
                <w:highlight w:val="none"/>
              </w:rPr>
            </w:pPr>
            <w:r>
              <w:rPr>
                <w:color w:val="auto"/>
                <w:spacing w:val="-1"/>
                <w:sz w:val="22"/>
                <w:szCs w:val="22"/>
                <w:highlight w:val="none"/>
              </w:rPr>
              <w:t>评分项目</w:t>
            </w:r>
          </w:p>
        </w:tc>
        <w:tc>
          <w:tcPr>
            <w:tcW w:w="1344" w:type="dxa"/>
            <w:vAlign w:val="top"/>
          </w:tcPr>
          <w:p w14:paraId="17E57A7E">
            <w:pPr>
              <w:pStyle w:val="239"/>
              <w:spacing w:before="255" w:line="270" w:lineRule="auto"/>
              <w:ind w:left="4" w:right="53" w:firstLine="14"/>
              <w:jc w:val="both"/>
              <w:rPr>
                <w:color w:val="auto"/>
                <w:sz w:val="22"/>
                <w:szCs w:val="22"/>
                <w:highlight w:val="none"/>
              </w:rPr>
            </w:pPr>
            <w:r>
              <w:rPr>
                <w:color w:val="auto"/>
                <w:spacing w:val="-9"/>
                <w:sz w:val="22"/>
                <w:szCs w:val="22"/>
                <w:highlight w:val="none"/>
              </w:rPr>
              <w:t>对下述问题，</w:t>
            </w:r>
            <w:r>
              <w:rPr>
                <w:color w:val="auto"/>
                <w:spacing w:val="2"/>
                <w:sz w:val="22"/>
                <w:szCs w:val="22"/>
                <w:highlight w:val="none"/>
              </w:rPr>
              <w:t>请在框内打</w:t>
            </w:r>
            <w:r>
              <w:rPr>
                <w:color w:val="auto"/>
                <w:spacing w:val="8"/>
                <w:sz w:val="22"/>
                <w:szCs w:val="22"/>
                <w:highlight w:val="none"/>
              </w:rPr>
              <w:t>“</w:t>
            </w:r>
            <w:r>
              <w:rPr>
                <w:color w:val="auto"/>
                <w:spacing w:val="-46"/>
                <w:sz w:val="22"/>
                <w:szCs w:val="22"/>
                <w:highlight w:val="none"/>
              </w:rPr>
              <w:t xml:space="preserve"> </w:t>
            </w:r>
            <w:r>
              <w:rPr>
                <w:color w:val="auto"/>
                <w:spacing w:val="8"/>
                <w:sz w:val="22"/>
                <w:szCs w:val="22"/>
                <w:highlight w:val="none"/>
              </w:rPr>
              <w:t>√</w:t>
            </w:r>
            <w:r>
              <w:rPr>
                <w:color w:val="auto"/>
                <w:spacing w:val="-81"/>
                <w:sz w:val="22"/>
                <w:szCs w:val="22"/>
                <w:highlight w:val="none"/>
              </w:rPr>
              <w:t xml:space="preserve"> </w:t>
            </w:r>
            <w:r>
              <w:rPr>
                <w:color w:val="auto"/>
                <w:spacing w:val="8"/>
                <w:sz w:val="22"/>
                <w:szCs w:val="22"/>
                <w:highlight w:val="none"/>
              </w:rPr>
              <w:t>”</w:t>
            </w:r>
          </w:p>
        </w:tc>
        <w:tc>
          <w:tcPr>
            <w:tcW w:w="816" w:type="dxa"/>
            <w:vAlign w:val="top"/>
          </w:tcPr>
          <w:p w14:paraId="6C6F73B4">
            <w:pPr>
              <w:spacing w:line="336" w:lineRule="auto"/>
              <w:rPr>
                <w:rFonts w:ascii="Arial"/>
                <w:color w:val="auto"/>
                <w:sz w:val="21"/>
                <w:highlight w:val="none"/>
              </w:rPr>
            </w:pPr>
          </w:p>
          <w:p w14:paraId="18D1542D">
            <w:pPr>
              <w:pStyle w:val="239"/>
              <w:spacing w:before="72" w:line="268" w:lineRule="auto"/>
              <w:ind w:left="308" w:right="70" w:hanging="218"/>
              <w:rPr>
                <w:color w:val="auto"/>
                <w:sz w:val="22"/>
                <w:szCs w:val="22"/>
                <w:highlight w:val="none"/>
              </w:rPr>
            </w:pPr>
            <w:r>
              <w:rPr>
                <w:color w:val="auto"/>
                <w:spacing w:val="-4"/>
                <w:sz w:val="22"/>
                <w:szCs w:val="22"/>
                <w:highlight w:val="none"/>
              </w:rPr>
              <w:t>非常满</w:t>
            </w:r>
            <w:r>
              <w:rPr>
                <w:color w:val="auto"/>
                <w:sz w:val="22"/>
                <w:szCs w:val="22"/>
                <w:highlight w:val="none"/>
              </w:rPr>
              <w:t>意</w:t>
            </w:r>
          </w:p>
        </w:tc>
        <w:tc>
          <w:tcPr>
            <w:tcW w:w="1080" w:type="dxa"/>
            <w:vAlign w:val="top"/>
          </w:tcPr>
          <w:p w14:paraId="4D78B896">
            <w:pPr>
              <w:spacing w:line="247" w:lineRule="auto"/>
              <w:rPr>
                <w:rFonts w:ascii="Arial"/>
                <w:color w:val="auto"/>
                <w:sz w:val="21"/>
                <w:highlight w:val="none"/>
              </w:rPr>
            </w:pPr>
          </w:p>
          <w:p w14:paraId="7EFC30E8">
            <w:pPr>
              <w:spacing w:line="248" w:lineRule="auto"/>
              <w:rPr>
                <w:rFonts w:ascii="Arial"/>
                <w:color w:val="auto"/>
                <w:sz w:val="21"/>
                <w:highlight w:val="none"/>
              </w:rPr>
            </w:pPr>
          </w:p>
          <w:p w14:paraId="53645224">
            <w:pPr>
              <w:pStyle w:val="239"/>
              <w:spacing w:before="71" w:line="220" w:lineRule="auto"/>
              <w:ind w:left="322"/>
              <w:rPr>
                <w:color w:val="auto"/>
                <w:sz w:val="22"/>
                <w:szCs w:val="22"/>
                <w:highlight w:val="none"/>
              </w:rPr>
            </w:pPr>
            <w:r>
              <w:rPr>
                <w:color w:val="auto"/>
                <w:spacing w:val="-2"/>
                <w:sz w:val="22"/>
                <w:szCs w:val="22"/>
                <w:highlight w:val="none"/>
              </w:rPr>
              <w:t>满意</w:t>
            </w:r>
          </w:p>
        </w:tc>
        <w:tc>
          <w:tcPr>
            <w:tcW w:w="1079" w:type="dxa"/>
            <w:vAlign w:val="top"/>
          </w:tcPr>
          <w:p w14:paraId="53C3BE29">
            <w:pPr>
              <w:spacing w:line="247" w:lineRule="auto"/>
              <w:rPr>
                <w:rFonts w:ascii="Arial"/>
                <w:color w:val="auto"/>
                <w:sz w:val="21"/>
                <w:highlight w:val="none"/>
              </w:rPr>
            </w:pPr>
          </w:p>
          <w:p w14:paraId="4F373E0D">
            <w:pPr>
              <w:spacing w:line="248" w:lineRule="auto"/>
              <w:rPr>
                <w:rFonts w:ascii="Arial"/>
                <w:color w:val="auto"/>
                <w:sz w:val="21"/>
                <w:highlight w:val="none"/>
              </w:rPr>
            </w:pPr>
          </w:p>
          <w:p w14:paraId="66796E4B">
            <w:pPr>
              <w:pStyle w:val="239"/>
              <w:spacing w:before="71" w:line="220" w:lineRule="auto"/>
              <w:ind w:left="217"/>
              <w:rPr>
                <w:color w:val="auto"/>
                <w:sz w:val="22"/>
                <w:szCs w:val="22"/>
                <w:highlight w:val="none"/>
              </w:rPr>
            </w:pPr>
            <w:r>
              <w:rPr>
                <w:color w:val="auto"/>
                <w:spacing w:val="-3"/>
                <w:sz w:val="22"/>
                <w:szCs w:val="22"/>
                <w:highlight w:val="none"/>
              </w:rPr>
              <w:t>较满意</w:t>
            </w:r>
          </w:p>
        </w:tc>
        <w:tc>
          <w:tcPr>
            <w:tcW w:w="1080" w:type="dxa"/>
            <w:vAlign w:val="top"/>
          </w:tcPr>
          <w:p w14:paraId="14BE2137">
            <w:pPr>
              <w:spacing w:line="247" w:lineRule="auto"/>
              <w:rPr>
                <w:rFonts w:ascii="Arial"/>
                <w:color w:val="auto"/>
                <w:sz w:val="21"/>
                <w:highlight w:val="none"/>
              </w:rPr>
            </w:pPr>
          </w:p>
          <w:p w14:paraId="1F644CFE">
            <w:pPr>
              <w:spacing w:line="248" w:lineRule="auto"/>
              <w:rPr>
                <w:rFonts w:ascii="Arial"/>
                <w:color w:val="auto"/>
                <w:sz w:val="21"/>
                <w:highlight w:val="none"/>
              </w:rPr>
            </w:pPr>
          </w:p>
          <w:p w14:paraId="03790A78">
            <w:pPr>
              <w:pStyle w:val="239"/>
              <w:spacing w:before="71" w:line="219" w:lineRule="auto"/>
              <w:ind w:left="108"/>
              <w:rPr>
                <w:color w:val="auto"/>
                <w:sz w:val="22"/>
                <w:szCs w:val="22"/>
                <w:highlight w:val="none"/>
              </w:rPr>
            </w:pPr>
            <w:r>
              <w:rPr>
                <w:color w:val="auto"/>
                <w:spacing w:val="-2"/>
                <w:sz w:val="22"/>
                <w:szCs w:val="22"/>
                <w:highlight w:val="none"/>
              </w:rPr>
              <w:t>基本满意</w:t>
            </w:r>
          </w:p>
        </w:tc>
        <w:tc>
          <w:tcPr>
            <w:tcW w:w="1392" w:type="dxa"/>
            <w:vAlign w:val="top"/>
          </w:tcPr>
          <w:p w14:paraId="2AD78C3F">
            <w:pPr>
              <w:spacing w:line="247" w:lineRule="auto"/>
              <w:rPr>
                <w:rFonts w:ascii="Arial"/>
                <w:color w:val="auto"/>
                <w:sz w:val="21"/>
                <w:highlight w:val="none"/>
              </w:rPr>
            </w:pPr>
          </w:p>
          <w:p w14:paraId="198558FA">
            <w:pPr>
              <w:spacing w:line="248" w:lineRule="auto"/>
              <w:rPr>
                <w:rFonts w:ascii="Arial"/>
                <w:color w:val="auto"/>
                <w:sz w:val="21"/>
                <w:highlight w:val="none"/>
              </w:rPr>
            </w:pPr>
          </w:p>
          <w:p w14:paraId="4310F10E">
            <w:pPr>
              <w:pStyle w:val="239"/>
              <w:spacing w:before="71" w:line="220" w:lineRule="auto"/>
              <w:ind w:left="376"/>
              <w:rPr>
                <w:color w:val="auto"/>
                <w:sz w:val="22"/>
                <w:szCs w:val="22"/>
                <w:highlight w:val="none"/>
              </w:rPr>
            </w:pPr>
            <w:r>
              <w:rPr>
                <w:color w:val="auto"/>
                <w:spacing w:val="-3"/>
                <w:sz w:val="22"/>
                <w:szCs w:val="22"/>
                <w:highlight w:val="none"/>
              </w:rPr>
              <w:t>不满意</w:t>
            </w:r>
          </w:p>
        </w:tc>
        <w:tc>
          <w:tcPr>
            <w:tcW w:w="1550" w:type="dxa"/>
            <w:vMerge w:val="restart"/>
            <w:tcBorders>
              <w:bottom w:val="nil"/>
            </w:tcBorders>
            <w:vAlign w:val="top"/>
          </w:tcPr>
          <w:p w14:paraId="6AF64817">
            <w:pPr>
              <w:spacing w:line="300" w:lineRule="auto"/>
              <w:rPr>
                <w:rFonts w:ascii="Arial"/>
                <w:color w:val="auto"/>
                <w:sz w:val="21"/>
                <w:highlight w:val="none"/>
              </w:rPr>
            </w:pPr>
          </w:p>
          <w:p w14:paraId="7A8C7519">
            <w:pPr>
              <w:spacing w:line="300" w:lineRule="auto"/>
              <w:rPr>
                <w:rFonts w:ascii="Arial"/>
                <w:color w:val="auto"/>
                <w:sz w:val="21"/>
                <w:highlight w:val="none"/>
              </w:rPr>
            </w:pPr>
          </w:p>
          <w:p w14:paraId="2ECDA545">
            <w:pPr>
              <w:spacing w:line="300" w:lineRule="auto"/>
              <w:rPr>
                <w:rFonts w:ascii="Arial"/>
                <w:color w:val="auto"/>
                <w:sz w:val="21"/>
                <w:highlight w:val="none"/>
              </w:rPr>
            </w:pPr>
          </w:p>
          <w:p w14:paraId="207777FA">
            <w:pPr>
              <w:pStyle w:val="239"/>
              <w:spacing w:before="72" w:line="219" w:lineRule="auto"/>
              <w:ind w:left="118"/>
              <w:rPr>
                <w:color w:val="auto"/>
                <w:sz w:val="22"/>
                <w:szCs w:val="22"/>
                <w:highlight w:val="none"/>
              </w:rPr>
            </w:pPr>
            <w:r>
              <w:rPr>
                <w:color w:val="auto"/>
                <w:spacing w:val="-1"/>
                <w:sz w:val="22"/>
                <w:szCs w:val="22"/>
                <w:highlight w:val="none"/>
              </w:rPr>
              <w:t>对应问题简述</w:t>
            </w:r>
          </w:p>
        </w:tc>
      </w:tr>
      <w:tr w14:paraId="270780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089" w:type="dxa"/>
            <w:vMerge w:val="continue"/>
            <w:tcBorders>
              <w:top w:val="nil"/>
            </w:tcBorders>
            <w:vAlign w:val="top"/>
          </w:tcPr>
          <w:p w14:paraId="5D9B89D3">
            <w:pPr>
              <w:rPr>
                <w:rFonts w:ascii="Arial"/>
                <w:color w:val="auto"/>
                <w:sz w:val="21"/>
                <w:highlight w:val="none"/>
              </w:rPr>
            </w:pPr>
          </w:p>
        </w:tc>
        <w:tc>
          <w:tcPr>
            <w:tcW w:w="1344" w:type="dxa"/>
            <w:vAlign w:val="top"/>
          </w:tcPr>
          <w:p w14:paraId="0AFA80F7">
            <w:pPr>
              <w:pStyle w:val="239"/>
              <w:spacing w:before="142" w:line="264" w:lineRule="auto"/>
              <w:ind w:left="36" w:right="224" w:hanging="18"/>
              <w:rPr>
                <w:color w:val="auto"/>
                <w:sz w:val="22"/>
                <w:szCs w:val="22"/>
                <w:highlight w:val="none"/>
              </w:rPr>
            </w:pPr>
            <w:r>
              <w:rPr>
                <w:color w:val="auto"/>
                <w:spacing w:val="-1"/>
                <w:sz w:val="22"/>
                <w:szCs w:val="22"/>
                <w:highlight w:val="none"/>
              </w:rPr>
              <w:t>对应每一项</w:t>
            </w:r>
            <w:r>
              <w:rPr>
                <w:color w:val="auto"/>
                <w:spacing w:val="-15"/>
                <w:sz w:val="22"/>
                <w:szCs w:val="22"/>
                <w:highlight w:val="none"/>
              </w:rPr>
              <w:t>的分数：</w:t>
            </w:r>
          </w:p>
        </w:tc>
        <w:tc>
          <w:tcPr>
            <w:tcW w:w="816" w:type="dxa"/>
            <w:vAlign w:val="top"/>
          </w:tcPr>
          <w:p w14:paraId="61F2102B">
            <w:pPr>
              <w:pStyle w:val="239"/>
              <w:spacing w:before="301" w:line="221" w:lineRule="auto"/>
              <w:ind w:left="254"/>
              <w:rPr>
                <w:color w:val="auto"/>
                <w:sz w:val="22"/>
                <w:szCs w:val="22"/>
                <w:highlight w:val="none"/>
              </w:rPr>
            </w:pPr>
            <w:r>
              <w:rPr>
                <w:color w:val="auto"/>
                <w:spacing w:val="-6"/>
                <w:sz w:val="22"/>
                <w:szCs w:val="22"/>
                <w:highlight w:val="none"/>
              </w:rPr>
              <w:t>5分</w:t>
            </w:r>
          </w:p>
        </w:tc>
        <w:tc>
          <w:tcPr>
            <w:tcW w:w="1080" w:type="dxa"/>
            <w:vAlign w:val="top"/>
          </w:tcPr>
          <w:p w14:paraId="78F78029">
            <w:pPr>
              <w:pStyle w:val="239"/>
              <w:spacing w:before="301" w:line="221" w:lineRule="auto"/>
              <w:ind w:left="379"/>
              <w:rPr>
                <w:color w:val="auto"/>
                <w:sz w:val="22"/>
                <w:szCs w:val="22"/>
                <w:highlight w:val="none"/>
              </w:rPr>
            </w:pPr>
            <w:r>
              <w:rPr>
                <w:color w:val="auto"/>
                <w:spacing w:val="-4"/>
                <w:sz w:val="22"/>
                <w:szCs w:val="22"/>
                <w:highlight w:val="none"/>
              </w:rPr>
              <w:t>4分</w:t>
            </w:r>
          </w:p>
        </w:tc>
        <w:tc>
          <w:tcPr>
            <w:tcW w:w="1079" w:type="dxa"/>
            <w:vAlign w:val="top"/>
          </w:tcPr>
          <w:p w14:paraId="68310BD0">
            <w:pPr>
              <w:pStyle w:val="239"/>
              <w:spacing w:before="301" w:line="221" w:lineRule="auto"/>
              <w:ind w:left="384"/>
              <w:rPr>
                <w:color w:val="auto"/>
                <w:sz w:val="22"/>
                <w:szCs w:val="22"/>
                <w:highlight w:val="none"/>
              </w:rPr>
            </w:pPr>
            <w:r>
              <w:rPr>
                <w:color w:val="auto"/>
                <w:spacing w:val="-6"/>
                <w:sz w:val="22"/>
                <w:szCs w:val="22"/>
                <w:highlight w:val="none"/>
              </w:rPr>
              <w:t>3分</w:t>
            </w:r>
          </w:p>
        </w:tc>
        <w:tc>
          <w:tcPr>
            <w:tcW w:w="1080" w:type="dxa"/>
            <w:vAlign w:val="top"/>
          </w:tcPr>
          <w:p w14:paraId="53818D2D">
            <w:pPr>
              <w:pStyle w:val="239"/>
              <w:spacing w:before="301" w:line="221" w:lineRule="auto"/>
              <w:ind w:left="384"/>
              <w:rPr>
                <w:color w:val="auto"/>
                <w:sz w:val="22"/>
                <w:szCs w:val="22"/>
                <w:highlight w:val="none"/>
              </w:rPr>
            </w:pPr>
            <w:r>
              <w:rPr>
                <w:color w:val="auto"/>
                <w:spacing w:val="-6"/>
                <w:sz w:val="22"/>
                <w:szCs w:val="22"/>
                <w:highlight w:val="none"/>
              </w:rPr>
              <w:t>2分</w:t>
            </w:r>
          </w:p>
        </w:tc>
        <w:tc>
          <w:tcPr>
            <w:tcW w:w="1392" w:type="dxa"/>
            <w:vAlign w:val="top"/>
          </w:tcPr>
          <w:p w14:paraId="395373EA">
            <w:pPr>
              <w:pStyle w:val="239"/>
              <w:spacing w:before="301" w:line="221" w:lineRule="auto"/>
              <w:ind w:left="537"/>
              <w:rPr>
                <w:color w:val="auto"/>
                <w:sz w:val="22"/>
                <w:szCs w:val="22"/>
                <w:highlight w:val="none"/>
              </w:rPr>
            </w:pPr>
            <w:r>
              <w:rPr>
                <w:color w:val="auto"/>
                <w:spacing w:val="-5"/>
                <w:sz w:val="22"/>
                <w:szCs w:val="22"/>
                <w:highlight w:val="none"/>
              </w:rPr>
              <w:t>0分</w:t>
            </w:r>
          </w:p>
        </w:tc>
        <w:tc>
          <w:tcPr>
            <w:tcW w:w="1550" w:type="dxa"/>
            <w:vMerge w:val="continue"/>
            <w:tcBorders>
              <w:top w:val="nil"/>
            </w:tcBorders>
            <w:vAlign w:val="top"/>
          </w:tcPr>
          <w:p w14:paraId="6E6B9F99">
            <w:pPr>
              <w:rPr>
                <w:rFonts w:ascii="Arial"/>
                <w:color w:val="auto"/>
                <w:sz w:val="21"/>
                <w:highlight w:val="none"/>
              </w:rPr>
            </w:pPr>
          </w:p>
        </w:tc>
      </w:tr>
      <w:tr w14:paraId="3852F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83" w:hRule="atLeast"/>
        </w:trPr>
        <w:tc>
          <w:tcPr>
            <w:tcW w:w="1089" w:type="dxa"/>
            <w:vMerge w:val="restart"/>
            <w:tcBorders>
              <w:bottom w:val="nil"/>
            </w:tcBorders>
            <w:vAlign w:val="top"/>
          </w:tcPr>
          <w:p w14:paraId="4243FFEE">
            <w:pPr>
              <w:spacing w:line="270" w:lineRule="auto"/>
              <w:rPr>
                <w:rFonts w:ascii="Arial"/>
                <w:color w:val="auto"/>
                <w:sz w:val="21"/>
                <w:highlight w:val="none"/>
              </w:rPr>
            </w:pPr>
          </w:p>
          <w:p w14:paraId="1D9D98DB">
            <w:pPr>
              <w:spacing w:line="270" w:lineRule="auto"/>
              <w:rPr>
                <w:rFonts w:ascii="Arial"/>
                <w:color w:val="auto"/>
                <w:sz w:val="21"/>
                <w:highlight w:val="none"/>
              </w:rPr>
            </w:pPr>
          </w:p>
          <w:p w14:paraId="231CBBA8">
            <w:pPr>
              <w:pStyle w:val="239"/>
              <w:spacing w:before="71" w:line="264" w:lineRule="auto"/>
              <w:ind w:left="119" w:right="95" w:hanging="4"/>
              <w:rPr>
                <w:color w:val="auto"/>
                <w:sz w:val="22"/>
                <w:szCs w:val="22"/>
                <w:highlight w:val="none"/>
              </w:rPr>
            </w:pPr>
            <w:r>
              <w:rPr>
                <w:color w:val="auto"/>
                <w:spacing w:val="-2"/>
                <w:sz w:val="22"/>
                <w:szCs w:val="22"/>
                <w:highlight w:val="none"/>
              </w:rPr>
              <w:t>卫生状况</w:t>
            </w:r>
            <w:r>
              <w:rPr>
                <w:color w:val="auto"/>
                <w:spacing w:val="-4"/>
                <w:sz w:val="22"/>
                <w:szCs w:val="22"/>
                <w:highlight w:val="none"/>
              </w:rPr>
              <w:t>（20分）</w:t>
            </w:r>
          </w:p>
        </w:tc>
        <w:tc>
          <w:tcPr>
            <w:tcW w:w="1344" w:type="dxa"/>
            <w:vAlign w:val="top"/>
          </w:tcPr>
          <w:p w14:paraId="20B63DB3">
            <w:pPr>
              <w:pStyle w:val="239"/>
              <w:spacing w:before="288" w:line="220" w:lineRule="auto"/>
              <w:ind w:left="239"/>
              <w:rPr>
                <w:color w:val="auto"/>
                <w:sz w:val="22"/>
                <w:szCs w:val="22"/>
                <w:highlight w:val="none"/>
              </w:rPr>
            </w:pPr>
            <w:r>
              <w:rPr>
                <w:color w:val="auto"/>
                <w:spacing w:val="-2"/>
                <w:sz w:val="22"/>
                <w:szCs w:val="22"/>
                <w:highlight w:val="none"/>
              </w:rPr>
              <w:t>个人卫生</w:t>
            </w:r>
          </w:p>
        </w:tc>
        <w:tc>
          <w:tcPr>
            <w:tcW w:w="816" w:type="dxa"/>
            <w:vAlign w:val="top"/>
          </w:tcPr>
          <w:p w14:paraId="291E6276">
            <w:pPr>
              <w:rPr>
                <w:rFonts w:ascii="Arial"/>
                <w:color w:val="auto"/>
                <w:sz w:val="21"/>
                <w:highlight w:val="none"/>
              </w:rPr>
            </w:pPr>
          </w:p>
        </w:tc>
        <w:tc>
          <w:tcPr>
            <w:tcW w:w="1080" w:type="dxa"/>
            <w:vAlign w:val="top"/>
          </w:tcPr>
          <w:p w14:paraId="612FB8BD">
            <w:pPr>
              <w:rPr>
                <w:rFonts w:ascii="Arial"/>
                <w:color w:val="auto"/>
                <w:sz w:val="21"/>
                <w:highlight w:val="none"/>
              </w:rPr>
            </w:pPr>
          </w:p>
        </w:tc>
        <w:tc>
          <w:tcPr>
            <w:tcW w:w="1079" w:type="dxa"/>
            <w:vAlign w:val="top"/>
          </w:tcPr>
          <w:p w14:paraId="5565AB12">
            <w:pPr>
              <w:rPr>
                <w:rFonts w:ascii="Arial"/>
                <w:color w:val="auto"/>
                <w:sz w:val="21"/>
                <w:highlight w:val="none"/>
              </w:rPr>
            </w:pPr>
          </w:p>
        </w:tc>
        <w:tc>
          <w:tcPr>
            <w:tcW w:w="1080" w:type="dxa"/>
            <w:vAlign w:val="top"/>
          </w:tcPr>
          <w:p w14:paraId="24F8DBB2">
            <w:pPr>
              <w:rPr>
                <w:rFonts w:ascii="Arial"/>
                <w:color w:val="auto"/>
                <w:sz w:val="21"/>
                <w:highlight w:val="none"/>
              </w:rPr>
            </w:pPr>
          </w:p>
        </w:tc>
        <w:tc>
          <w:tcPr>
            <w:tcW w:w="1392" w:type="dxa"/>
            <w:vAlign w:val="top"/>
          </w:tcPr>
          <w:p w14:paraId="581B03A6">
            <w:pPr>
              <w:rPr>
                <w:rFonts w:ascii="Arial"/>
                <w:color w:val="auto"/>
                <w:sz w:val="21"/>
                <w:highlight w:val="none"/>
              </w:rPr>
            </w:pPr>
          </w:p>
        </w:tc>
        <w:tc>
          <w:tcPr>
            <w:tcW w:w="1550" w:type="dxa"/>
            <w:vAlign w:val="top"/>
          </w:tcPr>
          <w:p w14:paraId="4035B47F">
            <w:pPr>
              <w:rPr>
                <w:rFonts w:ascii="Arial"/>
                <w:color w:val="auto"/>
                <w:sz w:val="21"/>
                <w:highlight w:val="none"/>
              </w:rPr>
            </w:pPr>
          </w:p>
        </w:tc>
      </w:tr>
      <w:tr w14:paraId="36A42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89" w:type="dxa"/>
            <w:vMerge w:val="continue"/>
            <w:tcBorders>
              <w:top w:val="nil"/>
              <w:bottom w:val="nil"/>
            </w:tcBorders>
            <w:vAlign w:val="top"/>
          </w:tcPr>
          <w:p w14:paraId="50378238">
            <w:pPr>
              <w:rPr>
                <w:rFonts w:ascii="Arial"/>
                <w:color w:val="auto"/>
                <w:sz w:val="21"/>
                <w:highlight w:val="none"/>
              </w:rPr>
            </w:pPr>
          </w:p>
        </w:tc>
        <w:tc>
          <w:tcPr>
            <w:tcW w:w="1344" w:type="dxa"/>
            <w:vAlign w:val="top"/>
          </w:tcPr>
          <w:p w14:paraId="323DD4F9">
            <w:pPr>
              <w:pStyle w:val="239"/>
              <w:spacing w:before="51" w:line="214" w:lineRule="auto"/>
              <w:ind w:left="239"/>
              <w:rPr>
                <w:color w:val="auto"/>
                <w:sz w:val="22"/>
                <w:szCs w:val="22"/>
                <w:highlight w:val="none"/>
              </w:rPr>
            </w:pPr>
            <w:r>
              <w:rPr>
                <w:color w:val="auto"/>
                <w:spacing w:val="-2"/>
                <w:sz w:val="22"/>
                <w:szCs w:val="22"/>
                <w:highlight w:val="none"/>
              </w:rPr>
              <w:t>饭菜卫生</w:t>
            </w:r>
          </w:p>
        </w:tc>
        <w:tc>
          <w:tcPr>
            <w:tcW w:w="816" w:type="dxa"/>
            <w:vAlign w:val="top"/>
          </w:tcPr>
          <w:p w14:paraId="4DC65621">
            <w:pPr>
              <w:rPr>
                <w:rFonts w:ascii="Arial"/>
                <w:color w:val="auto"/>
                <w:sz w:val="21"/>
                <w:highlight w:val="none"/>
              </w:rPr>
            </w:pPr>
          </w:p>
        </w:tc>
        <w:tc>
          <w:tcPr>
            <w:tcW w:w="1080" w:type="dxa"/>
            <w:vAlign w:val="top"/>
          </w:tcPr>
          <w:p w14:paraId="144D7411">
            <w:pPr>
              <w:rPr>
                <w:rFonts w:ascii="Arial"/>
                <w:color w:val="auto"/>
                <w:sz w:val="21"/>
                <w:highlight w:val="none"/>
              </w:rPr>
            </w:pPr>
          </w:p>
        </w:tc>
        <w:tc>
          <w:tcPr>
            <w:tcW w:w="1079" w:type="dxa"/>
            <w:vAlign w:val="top"/>
          </w:tcPr>
          <w:p w14:paraId="7B50AAA6">
            <w:pPr>
              <w:rPr>
                <w:rFonts w:ascii="Arial"/>
                <w:color w:val="auto"/>
                <w:sz w:val="21"/>
                <w:highlight w:val="none"/>
              </w:rPr>
            </w:pPr>
          </w:p>
        </w:tc>
        <w:tc>
          <w:tcPr>
            <w:tcW w:w="1080" w:type="dxa"/>
            <w:vAlign w:val="top"/>
          </w:tcPr>
          <w:p w14:paraId="23B8B656">
            <w:pPr>
              <w:rPr>
                <w:rFonts w:ascii="Arial"/>
                <w:color w:val="auto"/>
                <w:sz w:val="21"/>
                <w:highlight w:val="none"/>
              </w:rPr>
            </w:pPr>
          </w:p>
        </w:tc>
        <w:tc>
          <w:tcPr>
            <w:tcW w:w="1392" w:type="dxa"/>
            <w:vAlign w:val="top"/>
          </w:tcPr>
          <w:p w14:paraId="6522AB2B">
            <w:pPr>
              <w:rPr>
                <w:rFonts w:ascii="Arial"/>
                <w:color w:val="auto"/>
                <w:sz w:val="21"/>
                <w:highlight w:val="none"/>
              </w:rPr>
            </w:pPr>
          </w:p>
        </w:tc>
        <w:tc>
          <w:tcPr>
            <w:tcW w:w="1550" w:type="dxa"/>
            <w:vAlign w:val="top"/>
          </w:tcPr>
          <w:p w14:paraId="6585CD9D">
            <w:pPr>
              <w:rPr>
                <w:rFonts w:ascii="Arial"/>
                <w:color w:val="auto"/>
                <w:sz w:val="21"/>
                <w:highlight w:val="none"/>
              </w:rPr>
            </w:pPr>
          </w:p>
        </w:tc>
      </w:tr>
      <w:tr w14:paraId="5CBF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89" w:type="dxa"/>
            <w:vMerge w:val="continue"/>
            <w:tcBorders>
              <w:top w:val="nil"/>
              <w:bottom w:val="nil"/>
            </w:tcBorders>
            <w:vAlign w:val="top"/>
          </w:tcPr>
          <w:p w14:paraId="46494EF8">
            <w:pPr>
              <w:rPr>
                <w:rFonts w:ascii="Arial"/>
                <w:color w:val="auto"/>
                <w:sz w:val="21"/>
                <w:highlight w:val="none"/>
              </w:rPr>
            </w:pPr>
          </w:p>
        </w:tc>
        <w:tc>
          <w:tcPr>
            <w:tcW w:w="1344" w:type="dxa"/>
            <w:vAlign w:val="top"/>
          </w:tcPr>
          <w:p w14:paraId="2894336B">
            <w:pPr>
              <w:pStyle w:val="239"/>
              <w:spacing w:before="55" w:line="214" w:lineRule="auto"/>
              <w:ind w:left="241"/>
              <w:rPr>
                <w:color w:val="auto"/>
                <w:sz w:val="22"/>
                <w:szCs w:val="22"/>
                <w:highlight w:val="none"/>
              </w:rPr>
            </w:pPr>
            <w:r>
              <w:rPr>
                <w:color w:val="auto"/>
                <w:spacing w:val="-2"/>
                <w:sz w:val="22"/>
                <w:szCs w:val="22"/>
                <w:highlight w:val="none"/>
              </w:rPr>
              <w:t>餐具卫生</w:t>
            </w:r>
          </w:p>
        </w:tc>
        <w:tc>
          <w:tcPr>
            <w:tcW w:w="816" w:type="dxa"/>
            <w:vAlign w:val="top"/>
          </w:tcPr>
          <w:p w14:paraId="13137315">
            <w:pPr>
              <w:rPr>
                <w:rFonts w:ascii="Arial"/>
                <w:color w:val="auto"/>
                <w:sz w:val="21"/>
                <w:highlight w:val="none"/>
              </w:rPr>
            </w:pPr>
          </w:p>
        </w:tc>
        <w:tc>
          <w:tcPr>
            <w:tcW w:w="1080" w:type="dxa"/>
            <w:vAlign w:val="top"/>
          </w:tcPr>
          <w:p w14:paraId="471B286E">
            <w:pPr>
              <w:rPr>
                <w:rFonts w:ascii="Arial"/>
                <w:color w:val="auto"/>
                <w:sz w:val="21"/>
                <w:highlight w:val="none"/>
              </w:rPr>
            </w:pPr>
          </w:p>
        </w:tc>
        <w:tc>
          <w:tcPr>
            <w:tcW w:w="1079" w:type="dxa"/>
            <w:vAlign w:val="top"/>
          </w:tcPr>
          <w:p w14:paraId="47CDC11D">
            <w:pPr>
              <w:rPr>
                <w:rFonts w:ascii="Arial"/>
                <w:color w:val="auto"/>
                <w:sz w:val="21"/>
                <w:highlight w:val="none"/>
              </w:rPr>
            </w:pPr>
          </w:p>
        </w:tc>
        <w:tc>
          <w:tcPr>
            <w:tcW w:w="1080" w:type="dxa"/>
            <w:vAlign w:val="top"/>
          </w:tcPr>
          <w:p w14:paraId="12B7A542">
            <w:pPr>
              <w:rPr>
                <w:rFonts w:ascii="Arial"/>
                <w:color w:val="auto"/>
                <w:sz w:val="21"/>
                <w:highlight w:val="none"/>
              </w:rPr>
            </w:pPr>
          </w:p>
        </w:tc>
        <w:tc>
          <w:tcPr>
            <w:tcW w:w="1392" w:type="dxa"/>
            <w:vAlign w:val="top"/>
          </w:tcPr>
          <w:p w14:paraId="7424D2C6">
            <w:pPr>
              <w:rPr>
                <w:rFonts w:ascii="Arial"/>
                <w:color w:val="auto"/>
                <w:sz w:val="21"/>
                <w:highlight w:val="none"/>
              </w:rPr>
            </w:pPr>
          </w:p>
        </w:tc>
        <w:tc>
          <w:tcPr>
            <w:tcW w:w="1550" w:type="dxa"/>
            <w:vAlign w:val="top"/>
          </w:tcPr>
          <w:p w14:paraId="2591906B">
            <w:pPr>
              <w:rPr>
                <w:rFonts w:ascii="Arial"/>
                <w:color w:val="auto"/>
                <w:sz w:val="21"/>
                <w:highlight w:val="none"/>
              </w:rPr>
            </w:pPr>
          </w:p>
        </w:tc>
      </w:tr>
      <w:tr w14:paraId="02D4F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89" w:type="dxa"/>
            <w:vMerge w:val="continue"/>
            <w:tcBorders>
              <w:top w:val="nil"/>
            </w:tcBorders>
            <w:vAlign w:val="top"/>
          </w:tcPr>
          <w:p w14:paraId="72F5A909">
            <w:pPr>
              <w:rPr>
                <w:rFonts w:ascii="Arial"/>
                <w:color w:val="auto"/>
                <w:sz w:val="21"/>
                <w:highlight w:val="none"/>
              </w:rPr>
            </w:pPr>
          </w:p>
        </w:tc>
        <w:tc>
          <w:tcPr>
            <w:tcW w:w="1344" w:type="dxa"/>
            <w:vAlign w:val="top"/>
          </w:tcPr>
          <w:p w14:paraId="6D2406EF">
            <w:pPr>
              <w:pStyle w:val="239"/>
              <w:spacing w:before="51" w:line="214" w:lineRule="auto"/>
              <w:ind w:left="239"/>
              <w:rPr>
                <w:color w:val="auto"/>
                <w:sz w:val="22"/>
                <w:szCs w:val="22"/>
                <w:highlight w:val="none"/>
              </w:rPr>
            </w:pPr>
            <w:r>
              <w:rPr>
                <w:color w:val="auto"/>
                <w:spacing w:val="-2"/>
                <w:sz w:val="22"/>
                <w:szCs w:val="22"/>
                <w:highlight w:val="none"/>
              </w:rPr>
              <w:t>环境卫生</w:t>
            </w:r>
          </w:p>
        </w:tc>
        <w:tc>
          <w:tcPr>
            <w:tcW w:w="816" w:type="dxa"/>
            <w:vAlign w:val="top"/>
          </w:tcPr>
          <w:p w14:paraId="1A1EC7E8">
            <w:pPr>
              <w:rPr>
                <w:rFonts w:ascii="Arial"/>
                <w:color w:val="auto"/>
                <w:sz w:val="21"/>
                <w:highlight w:val="none"/>
              </w:rPr>
            </w:pPr>
          </w:p>
        </w:tc>
        <w:tc>
          <w:tcPr>
            <w:tcW w:w="1080" w:type="dxa"/>
            <w:vAlign w:val="top"/>
          </w:tcPr>
          <w:p w14:paraId="5928C606">
            <w:pPr>
              <w:rPr>
                <w:rFonts w:ascii="Arial"/>
                <w:color w:val="auto"/>
                <w:sz w:val="21"/>
                <w:highlight w:val="none"/>
              </w:rPr>
            </w:pPr>
          </w:p>
        </w:tc>
        <w:tc>
          <w:tcPr>
            <w:tcW w:w="1079" w:type="dxa"/>
            <w:vAlign w:val="top"/>
          </w:tcPr>
          <w:p w14:paraId="0DC41A14">
            <w:pPr>
              <w:rPr>
                <w:rFonts w:ascii="Arial"/>
                <w:color w:val="auto"/>
                <w:sz w:val="21"/>
                <w:highlight w:val="none"/>
              </w:rPr>
            </w:pPr>
          </w:p>
        </w:tc>
        <w:tc>
          <w:tcPr>
            <w:tcW w:w="1080" w:type="dxa"/>
            <w:vAlign w:val="top"/>
          </w:tcPr>
          <w:p w14:paraId="74987F4F">
            <w:pPr>
              <w:rPr>
                <w:rFonts w:ascii="Arial"/>
                <w:color w:val="auto"/>
                <w:sz w:val="21"/>
                <w:highlight w:val="none"/>
              </w:rPr>
            </w:pPr>
          </w:p>
        </w:tc>
        <w:tc>
          <w:tcPr>
            <w:tcW w:w="1392" w:type="dxa"/>
            <w:vAlign w:val="top"/>
          </w:tcPr>
          <w:p w14:paraId="16BDE3AB">
            <w:pPr>
              <w:rPr>
                <w:rFonts w:ascii="Arial"/>
                <w:color w:val="auto"/>
                <w:sz w:val="21"/>
                <w:highlight w:val="none"/>
              </w:rPr>
            </w:pPr>
          </w:p>
        </w:tc>
        <w:tc>
          <w:tcPr>
            <w:tcW w:w="1550" w:type="dxa"/>
            <w:vAlign w:val="top"/>
          </w:tcPr>
          <w:p w14:paraId="5AD3FF92">
            <w:pPr>
              <w:rPr>
                <w:rFonts w:ascii="Arial"/>
                <w:color w:val="auto"/>
                <w:sz w:val="21"/>
                <w:highlight w:val="none"/>
              </w:rPr>
            </w:pPr>
          </w:p>
        </w:tc>
      </w:tr>
      <w:tr w14:paraId="2FD00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1089" w:type="dxa"/>
            <w:vMerge w:val="restart"/>
            <w:tcBorders>
              <w:bottom w:val="nil"/>
            </w:tcBorders>
            <w:vAlign w:val="top"/>
          </w:tcPr>
          <w:p w14:paraId="4441D096">
            <w:pPr>
              <w:spacing w:line="250" w:lineRule="auto"/>
              <w:rPr>
                <w:rFonts w:ascii="Arial"/>
                <w:color w:val="auto"/>
                <w:sz w:val="21"/>
                <w:highlight w:val="none"/>
              </w:rPr>
            </w:pPr>
          </w:p>
          <w:p w14:paraId="29C27B94">
            <w:pPr>
              <w:spacing w:line="251" w:lineRule="auto"/>
              <w:rPr>
                <w:rFonts w:ascii="Arial"/>
                <w:color w:val="auto"/>
                <w:sz w:val="21"/>
                <w:highlight w:val="none"/>
              </w:rPr>
            </w:pPr>
          </w:p>
          <w:p w14:paraId="02B9594B">
            <w:pPr>
              <w:spacing w:line="251" w:lineRule="auto"/>
              <w:rPr>
                <w:rFonts w:ascii="Arial"/>
                <w:color w:val="auto"/>
                <w:sz w:val="21"/>
                <w:highlight w:val="none"/>
              </w:rPr>
            </w:pPr>
          </w:p>
          <w:p w14:paraId="4AB7B850">
            <w:pPr>
              <w:spacing w:line="251" w:lineRule="auto"/>
              <w:rPr>
                <w:rFonts w:ascii="Arial"/>
                <w:color w:val="auto"/>
                <w:sz w:val="21"/>
                <w:highlight w:val="none"/>
              </w:rPr>
            </w:pPr>
          </w:p>
          <w:p w14:paraId="71B2229F">
            <w:pPr>
              <w:spacing w:line="251" w:lineRule="auto"/>
              <w:rPr>
                <w:rFonts w:ascii="Arial"/>
                <w:color w:val="auto"/>
                <w:sz w:val="21"/>
                <w:highlight w:val="none"/>
              </w:rPr>
            </w:pPr>
          </w:p>
          <w:p w14:paraId="02875791">
            <w:pPr>
              <w:pStyle w:val="239"/>
              <w:spacing w:before="72" w:line="264" w:lineRule="auto"/>
              <w:ind w:left="120" w:right="95" w:hanging="6"/>
              <w:rPr>
                <w:color w:val="auto"/>
                <w:sz w:val="22"/>
                <w:szCs w:val="22"/>
                <w:highlight w:val="none"/>
              </w:rPr>
            </w:pPr>
            <w:r>
              <w:rPr>
                <w:color w:val="auto"/>
                <w:spacing w:val="-2"/>
                <w:sz w:val="22"/>
                <w:szCs w:val="22"/>
                <w:highlight w:val="none"/>
              </w:rPr>
              <w:t>饭菜质量</w:t>
            </w:r>
            <w:r>
              <w:rPr>
                <w:color w:val="auto"/>
                <w:spacing w:val="-4"/>
                <w:sz w:val="22"/>
                <w:szCs w:val="22"/>
                <w:highlight w:val="none"/>
              </w:rPr>
              <w:t>（25分）</w:t>
            </w:r>
          </w:p>
        </w:tc>
        <w:tc>
          <w:tcPr>
            <w:tcW w:w="1344" w:type="dxa"/>
            <w:vAlign w:val="top"/>
          </w:tcPr>
          <w:p w14:paraId="447F87C2">
            <w:pPr>
              <w:pStyle w:val="239"/>
              <w:spacing w:before="127" w:line="265" w:lineRule="auto"/>
              <w:ind w:left="570" w:right="114" w:hanging="438"/>
              <w:rPr>
                <w:color w:val="auto"/>
                <w:sz w:val="22"/>
                <w:szCs w:val="22"/>
                <w:highlight w:val="none"/>
              </w:rPr>
            </w:pPr>
            <w:r>
              <w:rPr>
                <w:color w:val="auto"/>
                <w:spacing w:val="-2"/>
                <w:sz w:val="22"/>
                <w:szCs w:val="22"/>
                <w:highlight w:val="none"/>
              </w:rPr>
              <w:t>各餐供应模</w:t>
            </w:r>
            <w:r>
              <w:rPr>
                <w:color w:val="auto"/>
                <w:sz w:val="22"/>
                <w:szCs w:val="22"/>
                <w:highlight w:val="none"/>
              </w:rPr>
              <w:t>式</w:t>
            </w:r>
          </w:p>
        </w:tc>
        <w:tc>
          <w:tcPr>
            <w:tcW w:w="816" w:type="dxa"/>
            <w:vAlign w:val="top"/>
          </w:tcPr>
          <w:p w14:paraId="0B26F758">
            <w:pPr>
              <w:rPr>
                <w:rFonts w:ascii="Arial"/>
                <w:color w:val="auto"/>
                <w:sz w:val="21"/>
                <w:highlight w:val="none"/>
              </w:rPr>
            </w:pPr>
          </w:p>
        </w:tc>
        <w:tc>
          <w:tcPr>
            <w:tcW w:w="1080" w:type="dxa"/>
            <w:vAlign w:val="top"/>
          </w:tcPr>
          <w:p w14:paraId="3CC48192">
            <w:pPr>
              <w:rPr>
                <w:rFonts w:ascii="Arial"/>
                <w:color w:val="auto"/>
                <w:sz w:val="21"/>
                <w:highlight w:val="none"/>
              </w:rPr>
            </w:pPr>
          </w:p>
        </w:tc>
        <w:tc>
          <w:tcPr>
            <w:tcW w:w="1079" w:type="dxa"/>
            <w:vAlign w:val="top"/>
          </w:tcPr>
          <w:p w14:paraId="21D7302C">
            <w:pPr>
              <w:rPr>
                <w:rFonts w:ascii="Arial"/>
                <w:color w:val="auto"/>
                <w:sz w:val="21"/>
                <w:highlight w:val="none"/>
              </w:rPr>
            </w:pPr>
          </w:p>
        </w:tc>
        <w:tc>
          <w:tcPr>
            <w:tcW w:w="1080" w:type="dxa"/>
            <w:vAlign w:val="top"/>
          </w:tcPr>
          <w:p w14:paraId="11D0D0B7">
            <w:pPr>
              <w:rPr>
                <w:rFonts w:ascii="Arial"/>
                <w:color w:val="auto"/>
                <w:sz w:val="21"/>
                <w:highlight w:val="none"/>
              </w:rPr>
            </w:pPr>
          </w:p>
        </w:tc>
        <w:tc>
          <w:tcPr>
            <w:tcW w:w="1392" w:type="dxa"/>
            <w:vAlign w:val="top"/>
          </w:tcPr>
          <w:p w14:paraId="76A25DC4">
            <w:pPr>
              <w:rPr>
                <w:rFonts w:ascii="Arial"/>
                <w:color w:val="auto"/>
                <w:sz w:val="21"/>
                <w:highlight w:val="none"/>
              </w:rPr>
            </w:pPr>
          </w:p>
        </w:tc>
        <w:tc>
          <w:tcPr>
            <w:tcW w:w="1550" w:type="dxa"/>
            <w:vAlign w:val="top"/>
          </w:tcPr>
          <w:p w14:paraId="5ABF4B54">
            <w:pPr>
              <w:rPr>
                <w:rFonts w:ascii="Arial"/>
                <w:color w:val="auto"/>
                <w:sz w:val="21"/>
                <w:highlight w:val="none"/>
              </w:rPr>
            </w:pPr>
          </w:p>
        </w:tc>
      </w:tr>
      <w:tr w14:paraId="3DEEB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1089" w:type="dxa"/>
            <w:vMerge w:val="continue"/>
            <w:tcBorders>
              <w:top w:val="nil"/>
              <w:bottom w:val="nil"/>
            </w:tcBorders>
            <w:vAlign w:val="top"/>
          </w:tcPr>
          <w:p w14:paraId="00DA7168">
            <w:pPr>
              <w:rPr>
                <w:rFonts w:ascii="Arial"/>
                <w:color w:val="auto"/>
                <w:sz w:val="21"/>
                <w:highlight w:val="none"/>
              </w:rPr>
            </w:pPr>
          </w:p>
        </w:tc>
        <w:tc>
          <w:tcPr>
            <w:tcW w:w="1344" w:type="dxa"/>
            <w:vAlign w:val="top"/>
          </w:tcPr>
          <w:p w14:paraId="6542525B">
            <w:pPr>
              <w:pStyle w:val="239"/>
              <w:spacing w:before="147" w:line="264" w:lineRule="auto"/>
              <w:ind w:left="352" w:right="3" w:hanging="333"/>
              <w:rPr>
                <w:color w:val="auto"/>
                <w:sz w:val="22"/>
                <w:szCs w:val="22"/>
                <w:highlight w:val="none"/>
              </w:rPr>
            </w:pPr>
            <w:r>
              <w:rPr>
                <w:color w:val="auto"/>
                <w:spacing w:val="-1"/>
                <w:sz w:val="22"/>
                <w:szCs w:val="22"/>
                <w:highlight w:val="none"/>
              </w:rPr>
              <w:t>饭菜品种、荤</w:t>
            </w:r>
            <w:r>
              <w:rPr>
                <w:color w:val="auto"/>
                <w:spacing w:val="-2"/>
                <w:sz w:val="22"/>
                <w:szCs w:val="22"/>
                <w:highlight w:val="none"/>
              </w:rPr>
              <w:t>素搭配</w:t>
            </w:r>
          </w:p>
        </w:tc>
        <w:tc>
          <w:tcPr>
            <w:tcW w:w="816" w:type="dxa"/>
            <w:vAlign w:val="top"/>
          </w:tcPr>
          <w:p w14:paraId="27F4E250">
            <w:pPr>
              <w:rPr>
                <w:rFonts w:ascii="Arial"/>
                <w:color w:val="auto"/>
                <w:sz w:val="21"/>
                <w:highlight w:val="none"/>
              </w:rPr>
            </w:pPr>
          </w:p>
        </w:tc>
        <w:tc>
          <w:tcPr>
            <w:tcW w:w="1080" w:type="dxa"/>
            <w:vAlign w:val="top"/>
          </w:tcPr>
          <w:p w14:paraId="7584DC51">
            <w:pPr>
              <w:rPr>
                <w:rFonts w:ascii="Arial"/>
                <w:color w:val="auto"/>
                <w:sz w:val="21"/>
                <w:highlight w:val="none"/>
              </w:rPr>
            </w:pPr>
          </w:p>
        </w:tc>
        <w:tc>
          <w:tcPr>
            <w:tcW w:w="1079" w:type="dxa"/>
            <w:vAlign w:val="top"/>
          </w:tcPr>
          <w:p w14:paraId="7D31C9B4">
            <w:pPr>
              <w:rPr>
                <w:rFonts w:ascii="Arial"/>
                <w:color w:val="auto"/>
                <w:sz w:val="21"/>
                <w:highlight w:val="none"/>
              </w:rPr>
            </w:pPr>
          </w:p>
        </w:tc>
        <w:tc>
          <w:tcPr>
            <w:tcW w:w="1080" w:type="dxa"/>
            <w:vAlign w:val="top"/>
          </w:tcPr>
          <w:p w14:paraId="37313BF0">
            <w:pPr>
              <w:rPr>
                <w:rFonts w:ascii="Arial"/>
                <w:color w:val="auto"/>
                <w:sz w:val="21"/>
                <w:highlight w:val="none"/>
              </w:rPr>
            </w:pPr>
          </w:p>
        </w:tc>
        <w:tc>
          <w:tcPr>
            <w:tcW w:w="1392" w:type="dxa"/>
            <w:vAlign w:val="top"/>
          </w:tcPr>
          <w:p w14:paraId="7B366430">
            <w:pPr>
              <w:rPr>
                <w:rFonts w:ascii="Arial"/>
                <w:color w:val="auto"/>
                <w:sz w:val="21"/>
                <w:highlight w:val="none"/>
              </w:rPr>
            </w:pPr>
          </w:p>
        </w:tc>
        <w:tc>
          <w:tcPr>
            <w:tcW w:w="1550" w:type="dxa"/>
            <w:vAlign w:val="top"/>
          </w:tcPr>
          <w:p w14:paraId="2C893BDC">
            <w:pPr>
              <w:rPr>
                <w:rFonts w:ascii="Arial"/>
                <w:color w:val="auto"/>
                <w:sz w:val="21"/>
                <w:highlight w:val="none"/>
              </w:rPr>
            </w:pPr>
          </w:p>
        </w:tc>
      </w:tr>
      <w:tr w14:paraId="0657A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89" w:type="dxa"/>
            <w:vMerge w:val="continue"/>
            <w:tcBorders>
              <w:top w:val="nil"/>
              <w:bottom w:val="nil"/>
            </w:tcBorders>
            <w:vAlign w:val="top"/>
          </w:tcPr>
          <w:p w14:paraId="1DF2EACE">
            <w:pPr>
              <w:rPr>
                <w:rFonts w:ascii="Arial"/>
                <w:color w:val="auto"/>
                <w:sz w:val="21"/>
                <w:highlight w:val="none"/>
              </w:rPr>
            </w:pPr>
          </w:p>
        </w:tc>
        <w:tc>
          <w:tcPr>
            <w:tcW w:w="1344" w:type="dxa"/>
            <w:vAlign w:val="top"/>
          </w:tcPr>
          <w:p w14:paraId="2669D867">
            <w:pPr>
              <w:pStyle w:val="239"/>
              <w:spacing w:before="51" w:line="214" w:lineRule="auto"/>
              <w:ind w:left="239"/>
              <w:rPr>
                <w:color w:val="auto"/>
                <w:sz w:val="22"/>
                <w:szCs w:val="22"/>
                <w:highlight w:val="none"/>
              </w:rPr>
            </w:pPr>
            <w:r>
              <w:rPr>
                <w:color w:val="auto"/>
                <w:spacing w:val="-2"/>
                <w:sz w:val="22"/>
                <w:szCs w:val="22"/>
                <w:highlight w:val="none"/>
              </w:rPr>
              <w:t>饭菜口味</w:t>
            </w:r>
          </w:p>
        </w:tc>
        <w:tc>
          <w:tcPr>
            <w:tcW w:w="816" w:type="dxa"/>
            <w:vAlign w:val="top"/>
          </w:tcPr>
          <w:p w14:paraId="5561BB5B">
            <w:pPr>
              <w:rPr>
                <w:rFonts w:ascii="Arial"/>
                <w:color w:val="auto"/>
                <w:sz w:val="21"/>
                <w:highlight w:val="none"/>
              </w:rPr>
            </w:pPr>
          </w:p>
        </w:tc>
        <w:tc>
          <w:tcPr>
            <w:tcW w:w="1080" w:type="dxa"/>
            <w:vAlign w:val="top"/>
          </w:tcPr>
          <w:p w14:paraId="1CE7880C">
            <w:pPr>
              <w:rPr>
                <w:rFonts w:ascii="Arial"/>
                <w:color w:val="auto"/>
                <w:sz w:val="21"/>
                <w:highlight w:val="none"/>
              </w:rPr>
            </w:pPr>
          </w:p>
        </w:tc>
        <w:tc>
          <w:tcPr>
            <w:tcW w:w="1079" w:type="dxa"/>
            <w:vAlign w:val="top"/>
          </w:tcPr>
          <w:p w14:paraId="18932587">
            <w:pPr>
              <w:rPr>
                <w:rFonts w:ascii="Arial"/>
                <w:color w:val="auto"/>
                <w:sz w:val="21"/>
                <w:highlight w:val="none"/>
              </w:rPr>
            </w:pPr>
          </w:p>
        </w:tc>
        <w:tc>
          <w:tcPr>
            <w:tcW w:w="1080" w:type="dxa"/>
            <w:vAlign w:val="top"/>
          </w:tcPr>
          <w:p w14:paraId="0EF6053A">
            <w:pPr>
              <w:rPr>
                <w:rFonts w:ascii="Arial"/>
                <w:color w:val="auto"/>
                <w:sz w:val="21"/>
                <w:highlight w:val="none"/>
              </w:rPr>
            </w:pPr>
          </w:p>
        </w:tc>
        <w:tc>
          <w:tcPr>
            <w:tcW w:w="1392" w:type="dxa"/>
            <w:vAlign w:val="top"/>
          </w:tcPr>
          <w:p w14:paraId="6E5ECB02">
            <w:pPr>
              <w:rPr>
                <w:rFonts w:ascii="Arial"/>
                <w:color w:val="auto"/>
                <w:sz w:val="21"/>
                <w:highlight w:val="none"/>
              </w:rPr>
            </w:pPr>
          </w:p>
        </w:tc>
        <w:tc>
          <w:tcPr>
            <w:tcW w:w="1550" w:type="dxa"/>
            <w:vAlign w:val="top"/>
          </w:tcPr>
          <w:p w14:paraId="7BAD7ACA">
            <w:pPr>
              <w:rPr>
                <w:rFonts w:ascii="Arial"/>
                <w:color w:val="auto"/>
                <w:sz w:val="21"/>
                <w:highlight w:val="none"/>
              </w:rPr>
            </w:pPr>
          </w:p>
        </w:tc>
      </w:tr>
      <w:tr w14:paraId="4DF87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89" w:type="dxa"/>
            <w:vMerge w:val="continue"/>
            <w:tcBorders>
              <w:top w:val="nil"/>
              <w:bottom w:val="nil"/>
            </w:tcBorders>
            <w:vAlign w:val="top"/>
          </w:tcPr>
          <w:p w14:paraId="25DF9C1B">
            <w:pPr>
              <w:rPr>
                <w:rFonts w:ascii="Arial"/>
                <w:color w:val="auto"/>
                <w:sz w:val="21"/>
                <w:highlight w:val="none"/>
              </w:rPr>
            </w:pPr>
          </w:p>
        </w:tc>
        <w:tc>
          <w:tcPr>
            <w:tcW w:w="1344" w:type="dxa"/>
            <w:vAlign w:val="top"/>
          </w:tcPr>
          <w:p w14:paraId="1B9C80EA">
            <w:pPr>
              <w:pStyle w:val="239"/>
              <w:spacing w:before="53" w:line="237" w:lineRule="auto"/>
              <w:ind w:left="564" w:right="114" w:hanging="435"/>
              <w:rPr>
                <w:color w:val="auto"/>
                <w:sz w:val="22"/>
                <w:szCs w:val="22"/>
                <w:highlight w:val="none"/>
              </w:rPr>
            </w:pPr>
            <w:r>
              <w:rPr>
                <w:color w:val="auto"/>
                <w:spacing w:val="-1"/>
                <w:sz w:val="22"/>
                <w:szCs w:val="22"/>
                <w:highlight w:val="none"/>
              </w:rPr>
              <w:t>饭菜新鲜程</w:t>
            </w:r>
            <w:r>
              <w:rPr>
                <w:color w:val="auto"/>
                <w:sz w:val="22"/>
                <w:szCs w:val="22"/>
                <w:highlight w:val="none"/>
              </w:rPr>
              <w:t>度</w:t>
            </w:r>
          </w:p>
        </w:tc>
        <w:tc>
          <w:tcPr>
            <w:tcW w:w="816" w:type="dxa"/>
            <w:vAlign w:val="top"/>
          </w:tcPr>
          <w:p w14:paraId="6910DD21">
            <w:pPr>
              <w:rPr>
                <w:rFonts w:ascii="Arial"/>
                <w:color w:val="auto"/>
                <w:sz w:val="21"/>
                <w:highlight w:val="none"/>
              </w:rPr>
            </w:pPr>
          </w:p>
        </w:tc>
        <w:tc>
          <w:tcPr>
            <w:tcW w:w="1080" w:type="dxa"/>
            <w:vAlign w:val="top"/>
          </w:tcPr>
          <w:p w14:paraId="1DC954EE">
            <w:pPr>
              <w:rPr>
                <w:rFonts w:ascii="Arial"/>
                <w:color w:val="auto"/>
                <w:sz w:val="21"/>
                <w:highlight w:val="none"/>
              </w:rPr>
            </w:pPr>
          </w:p>
        </w:tc>
        <w:tc>
          <w:tcPr>
            <w:tcW w:w="1079" w:type="dxa"/>
            <w:vAlign w:val="top"/>
          </w:tcPr>
          <w:p w14:paraId="168698EB">
            <w:pPr>
              <w:rPr>
                <w:rFonts w:ascii="Arial"/>
                <w:color w:val="auto"/>
                <w:sz w:val="21"/>
                <w:highlight w:val="none"/>
              </w:rPr>
            </w:pPr>
          </w:p>
        </w:tc>
        <w:tc>
          <w:tcPr>
            <w:tcW w:w="1080" w:type="dxa"/>
            <w:vAlign w:val="top"/>
          </w:tcPr>
          <w:p w14:paraId="67BBF9ED">
            <w:pPr>
              <w:rPr>
                <w:rFonts w:ascii="Arial"/>
                <w:color w:val="auto"/>
                <w:sz w:val="21"/>
                <w:highlight w:val="none"/>
              </w:rPr>
            </w:pPr>
          </w:p>
        </w:tc>
        <w:tc>
          <w:tcPr>
            <w:tcW w:w="1392" w:type="dxa"/>
            <w:vAlign w:val="top"/>
          </w:tcPr>
          <w:p w14:paraId="36635D7D">
            <w:pPr>
              <w:rPr>
                <w:rFonts w:ascii="Arial"/>
                <w:color w:val="auto"/>
                <w:sz w:val="21"/>
                <w:highlight w:val="none"/>
              </w:rPr>
            </w:pPr>
          </w:p>
        </w:tc>
        <w:tc>
          <w:tcPr>
            <w:tcW w:w="1550" w:type="dxa"/>
            <w:vAlign w:val="top"/>
          </w:tcPr>
          <w:p w14:paraId="4044EA88">
            <w:pPr>
              <w:rPr>
                <w:rFonts w:ascii="Arial"/>
                <w:color w:val="auto"/>
                <w:sz w:val="21"/>
                <w:highlight w:val="none"/>
              </w:rPr>
            </w:pPr>
          </w:p>
        </w:tc>
      </w:tr>
      <w:tr w14:paraId="0E947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89" w:type="dxa"/>
            <w:vMerge w:val="continue"/>
            <w:tcBorders>
              <w:top w:val="nil"/>
            </w:tcBorders>
            <w:vAlign w:val="top"/>
          </w:tcPr>
          <w:p w14:paraId="76A4C8D9">
            <w:pPr>
              <w:rPr>
                <w:rFonts w:ascii="Arial"/>
                <w:color w:val="auto"/>
                <w:sz w:val="21"/>
                <w:highlight w:val="none"/>
              </w:rPr>
            </w:pPr>
          </w:p>
        </w:tc>
        <w:tc>
          <w:tcPr>
            <w:tcW w:w="1344" w:type="dxa"/>
            <w:vAlign w:val="top"/>
          </w:tcPr>
          <w:p w14:paraId="75B4D25F">
            <w:pPr>
              <w:pStyle w:val="239"/>
              <w:spacing w:before="53" w:line="237" w:lineRule="auto"/>
              <w:ind w:left="568" w:right="114" w:hanging="432"/>
              <w:rPr>
                <w:color w:val="auto"/>
                <w:sz w:val="22"/>
                <w:szCs w:val="22"/>
                <w:highlight w:val="none"/>
              </w:rPr>
            </w:pPr>
            <w:r>
              <w:rPr>
                <w:color w:val="auto"/>
                <w:spacing w:val="-3"/>
                <w:sz w:val="22"/>
                <w:szCs w:val="22"/>
                <w:highlight w:val="none"/>
              </w:rPr>
              <w:t>营养是否合</w:t>
            </w:r>
            <w:r>
              <w:rPr>
                <w:color w:val="auto"/>
                <w:sz w:val="22"/>
                <w:szCs w:val="22"/>
                <w:highlight w:val="none"/>
              </w:rPr>
              <w:t>理</w:t>
            </w:r>
          </w:p>
        </w:tc>
        <w:tc>
          <w:tcPr>
            <w:tcW w:w="816" w:type="dxa"/>
            <w:vAlign w:val="top"/>
          </w:tcPr>
          <w:p w14:paraId="1040524D">
            <w:pPr>
              <w:rPr>
                <w:rFonts w:ascii="Arial"/>
                <w:color w:val="auto"/>
                <w:sz w:val="21"/>
                <w:highlight w:val="none"/>
              </w:rPr>
            </w:pPr>
          </w:p>
        </w:tc>
        <w:tc>
          <w:tcPr>
            <w:tcW w:w="1080" w:type="dxa"/>
            <w:vAlign w:val="top"/>
          </w:tcPr>
          <w:p w14:paraId="11A97CE4">
            <w:pPr>
              <w:rPr>
                <w:rFonts w:ascii="Arial"/>
                <w:color w:val="auto"/>
                <w:sz w:val="21"/>
                <w:highlight w:val="none"/>
              </w:rPr>
            </w:pPr>
          </w:p>
        </w:tc>
        <w:tc>
          <w:tcPr>
            <w:tcW w:w="1079" w:type="dxa"/>
            <w:vAlign w:val="top"/>
          </w:tcPr>
          <w:p w14:paraId="6AADC255">
            <w:pPr>
              <w:rPr>
                <w:rFonts w:ascii="Arial"/>
                <w:color w:val="auto"/>
                <w:sz w:val="21"/>
                <w:highlight w:val="none"/>
              </w:rPr>
            </w:pPr>
          </w:p>
        </w:tc>
        <w:tc>
          <w:tcPr>
            <w:tcW w:w="1080" w:type="dxa"/>
            <w:vAlign w:val="top"/>
          </w:tcPr>
          <w:p w14:paraId="26A7DA69">
            <w:pPr>
              <w:rPr>
                <w:rFonts w:ascii="Arial"/>
                <w:color w:val="auto"/>
                <w:sz w:val="21"/>
                <w:highlight w:val="none"/>
              </w:rPr>
            </w:pPr>
          </w:p>
        </w:tc>
        <w:tc>
          <w:tcPr>
            <w:tcW w:w="1392" w:type="dxa"/>
            <w:vAlign w:val="top"/>
          </w:tcPr>
          <w:p w14:paraId="61634B81">
            <w:pPr>
              <w:rPr>
                <w:rFonts w:ascii="Arial"/>
                <w:color w:val="auto"/>
                <w:sz w:val="21"/>
                <w:highlight w:val="none"/>
              </w:rPr>
            </w:pPr>
          </w:p>
        </w:tc>
        <w:tc>
          <w:tcPr>
            <w:tcW w:w="1550" w:type="dxa"/>
            <w:vAlign w:val="top"/>
          </w:tcPr>
          <w:p w14:paraId="460914FE">
            <w:pPr>
              <w:rPr>
                <w:rFonts w:ascii="Arial"/>
                <w:color w:val="auto"/>
                <w:sz w:val="21"/>
                <w:highlight w:val="none"/>
              </w:rPr>
            </w:pPr>
          </w:p>
        </w:tc>
      </w:tr>
      <w:tr w14:paraId="65E03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1089" w:type="dxa"/>
            <w:vMerge w:val="restart"/>
            <w:tcBorders>
              <w:bottom w:val="nil"/>
            </w:tcBorders>
            <w:vAlign w:val="top"/>
          </w:tcPr>
          <w:p w14:paraId="653385E5">
            <w:pPr>
              <w:spacing w:line="260" w:lineRule="auto"/>
              <w:rPr>
                <w:rFonts w:ascii="Arial"/>
                <w:color w:val="auto"/>
                <w:sz w:val="21"/>
                <w:highlight w:val="none"/>
              </w:rPr>
            </w:pPr>
          </w:p>
          <w:p w14:paraId="6F5D500A">
            <w:pPr>
              <w:spacing w:line="260" w:lineRule="auto"/>
              <w:rPr>
                <w:rFonts w:ascii="Arial"/>
                <w:color w:val="auto"/>
                <w:sz w:val="21"/>
                <w:highlight w:val="none"/>
              </w:rPr>
            </w:pPr>
          </w:p>
          <w:p w14:paraId="3FE5F0A2">
            <w:pPr>
              <w:spacing w:line="260" w:lineRule="auto"/>
              <w:rPr>
                <w:rFonts w:ascii="Arial"/>
                <w:color w:val="auto"/>
                <w:sz w:val="21"/>
                <w:highlight w:val="none"/>
              </w:rPr>
            </w:pPr>
          </w:p>
          <w:p w14:paraId="4FE6F73B">
            <w:pPr>
              <w:spacing w:line="260" w:lineRule="auto"/>
              <w:rPr>
                <w:rFonts w:ascii="Arial"/>
                <w:color w:val="auto"/>
                <w:sz w:val="21"/>
                <w:highlight w:val="none"/>
              </w:rPr>
            </w:pPr>
          </w:p>
          <w:p w14:paraId="14E8D048">
            <w:pPr>
              <w:spacing w:line="260" w:lineRule="auto"/>
              <w:rPr>
                <w:rFonts w:ascii="Arial"/>
                <w:color w:val="auto"/>
                <w:sz w:val="21"/>
                <w:highlight w:val="none"/>
              </w:rPr>
            </w:pPr>
          </w:p>
          <w:p w14:paraId="1918CAAE">
            <w:pPr>
              <w:spacing w:line="261" w:lineRule="auto"/>
              <w:rPr>
                <w:rFonts w:ascii="Arial"/>
                <w:color w:val="auto"/>
                <w:sz w:val="21"/>
                <w:highlight w:val="none"/>
              </w:rPr>
            </w:pPr>
          </w:p>
          <w:p w14:paraId="64A047BB">
            <w:pPr>
              <w:spacing w:line="261" w:lineRule="auto"/>
              <w:rPr>
                <w:rFonts w:ascii="Arial"/>
                <w:color w:val="auto"/>
                <w:sz w:val="21"/>
                <w:highlight w:val="none"/>
              </w:rPr>
            </w:pPr>
          </w:p>
          <w:p w14:paraId="15DB6553">
            <w:pPr>
              <w:pStyle w:val="239"/>
              <w:spacing w:before="72" w:line="265" w:lineRule="auto"/>
              <w:ind w:left="120" w:right="95" w:hanging="6"/>
              <w:rPr>
                <w:color w:val="auto"/>
                <w:sz w:val="22"/>
                <w:szCs w:val="22"/>
                <w:highlight w:val="none"/>
              </w:rPr>
            </w:pPr>
            <w:r>
              <w:rPr>
                <w:color w:val="auto"/>
                <w:spacing w:val="-2"/>
                <w:sz w:val="22"/>
                <w:szCs w:val="22"/>
                <w:highlight w:val="none"/>
              </w:rPr>
              <w:t>服务规范</w:t>
            </w:r>
            <w:r>
              <w:rPr>
                <w:color w:val="auto"/>
                <w:spacing w:val="-4"/>
                <w:sz w:val="22"/>
                <w:szCs w:val="22"/>
                <w:highlight w:val="none"/>
              </w:rPr>
              <w:t>（40分）</w:t>
            </w:r>
          </w:p>
        </w:tc>
        <w:tc>
          <w:tcPr>
            <w:tcW w:w="1344" w:type="dxa"/>
            <w:vAlign w:val="top"/>
          </w:tcPr>
          <w:p w14:paraId="11FCE144">
            <w:pPr>
              <w:pStyle w:val="239"/>
              <w:spacing w:before="289" w:line="220" w:lineRule="auto"/>
              <w:ind w:left="239"/>
              <w:rPr>
                <w:color w:val="auto"/>
                <w:sz w:val="22"/>
                <w:szCs w:val="22"/>
                <w:highlight w:val="none"/>
              </w:rPr>
            </w:pPr>
            <w:r>
              <w:rPr>
                <w:color w:val="auto"/>
                <w:spacing w:val="-2"/>
                <w:sz w:val="22"/>
                <w:szCs w:val="22"/>
                <w:highlight w:val="none"/>
              </w:rPr>
              <w:t>服务态度</w:t>
            </w:r>
          </w:p>
        </w:tc>
        <w:tc>
          <w:tcPr>
            <w:tcW w:w="816" w:type="dxa"/>
            <w:vAlign w:val="top"/>
          </w:tcPr>
          <w:p w14:paraId="3A97DD89">
            <w:pPr>
              <w:rPr>
                <w:rFonts w:ascii="Arial"/>
                <w:color w:val="auto"/>
                <w:sz w:val="21"/>
                <w:highlight w:val="none"/>
              </w:rPr>
            </w:pPr>
          </w:p>
        </w:tc>
        <w:tc>
          <w:tcPr>
            <w:tcW w:w="1080" w:type="dxa"/>
            <w:vAlign w:val="top"/>
          </w:tcPr>
          <w:p w14:paraId="21AF75F9">
            <w:pPr>
              <w:rPr>
                <w:rFonts w:ascii="Arial"/>
                <w:color w:val="auto"/>
                <w:sz w:val="21"/>
                <w:highlight w:val="none"/>
              </w:rPr>
            </w:pPr>
          </w:p>
        </w:tc>
        <w:tc>
          <w:tcPr>
            <w:tcW w:w="1079" w:type="dxa"/>
            <w:vAlign w:val="top"/>
          </w:tcPr>
          <w:p w14:paraId="6B3AC521">
            <w:pPr>
              <w:rPr>
                <w:rFonts w:ascii="Arial"/>
                <w:color w:val="auto"/>
                <w:sz w:val="21"/>
                <w:highlight w:val="none"/>
              </w:rPr>
            </w:pPr>
          </w:p>
        </w:tc>
        <w:tc>
          <w:tcPr>
            <w:tcW w:w="1080" w:type="dxa"/>
            <w:vAlign w:val="top"/>
          </w:tcPr>
          <w:p w14:paraId="6E86AD07">
            <w:pPr>
              <w:rPr>
                <w:rFonts w:ascii="Arial"/>
                <w:color w:val="auto"/>
                <w:sz w:val="21"/>
                <w:highlight w:val="none"/>
              </w:rPr>
            </w:pPr>
          </w:p>
        </w:tc>
        <w:tc>
          <w:tcPr>
            <w:tcW w:w="1392" w:type="dxa"/>
            <w:vAlign w:val="top"/>
          </w:tcPr>
          <w:p w14:paraId="01829F72">
            <w:pPr>
              <w:rPr>
                <w:rFonts w:ascii="Arial"/>
                <w:color w:val="auto"/>
                <w:sz w:val="21"/>
                <w:highlight w:val="none"/>
              </w:rPr>
            </w:pPr>
          </w:p>
        </w:tc>
        <w:tc>
          <w:tcPr>
            <w:tcW w:w="1550" w:type="dxa"/>
            <w:vAlign w:val="top"/>
          </w:tcPr>
          <w:p w14:paraId="68653905">
            <w:pPr>
              <w:rPr>
                <w:rFonts w:ascii="Arial"/>
                <w:color w:val="auto"/>
                <w:sz w:val="21"/>
                <w:highlight w:val="none"/>
              </w:rPr>
            </w:pPr>
          </w:p>
        </w:tc>
      </w:tr>
      <w:tr w14:paraId="02868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84" w:hRule="atLeast"/>
        </w:trPr>
        <w:tc>
          <w:tcPr>
            <w:tcW w:w="1089" w:type="dxa"/>
            <w:vMerge w:val="continue"/>
            <w:tcBorders>
              <w:top w:val="nil"/>
              <w:bottom w:val="nil"/>
            </w:tcBorders>
            <w:vAlign w:val="top"/>
          </w:tcPr>
          <w:p w14:paraId="42F01E23">
            <w:pPr>
              <w:rPr>
                <w:rFonts w:ascii="Arial"/>
                <w:color w:val="auto"/>
                <w:sz w:val="21"/>
                <w:highlight w:val="none"/>
              </w:rPr>
            </w:pPr>
          </w:p>
        </w:tc>
        <w:tc>
          <w:tcPr>
            <w:tcW w:w="1344" w:type="dxa"/>
            <w:vAlign w:val="top"/>
          </w:tcPr>
          <w:p w14:paraId="11D02D0F">
            <w:pPr>
              <w:pStyle w:val="239"/>
              <w:spacing w:before="126" w:line="220" w:lineRule="auto"/>
              <w:ind w:left="129"/>
              <w:rPr>
                <w:color w:val="auto"/>
                <w:sz w:val="22"/>
                <w:szCs w:val="22"/>
                <w:highlight w:val="none"/>
              </w:rPr>
            </w:pPr>
            <w:r>
              <w:rPr>
                <w:color w:val="auto"/>
                <w:spacing w:val="-1"/>
                <w:sz w:val="22"/>
                <w:szCs w:val="22"/>
                <w:highlight w:val="none"/>
              </w:rPr>
              <w:t>饭菜份量是</w:t>
            </w:r>
          </w:p>
          <w:p w14:paraId="3FB0D88B">
            <w:pPr>
              <w:pStyle w:val="239"/>
              <w:spacing w:before="49" w:line="221" w:lineRule="auto"/>
              <w:ind w:right="1"/>
              <w:jc w:val="right"/>
              <w:rPr>
                <w:color w:val="auto"/>
                <w:sz w:val="22"/>
                <w:szCs w:val="22"/>
                <w:highlight w:val="none"/>
              </w:rPr>
            </w:pPr>
            <w:r>
              <w:rPr>
                <w:color w:val="auto"/>
                <w:spacing w:val="-2"/>
                <w:sz w:val="22"/>
                <w:szCs w:val="22"/>
                <w:highlight w:val="none"/>
              </w:rPr>
              <w:t>否适量，无浪</w:t>
            </w:r>
          </w:p>
          <w:p w14:paraId="7D3961A1">
            <w:pPr>
              <w:pStyle w:val="239"/>
              <w:spacing w:before="48" w:line="221" w:lineRule="auto"/>
              <w:ind w:left="578"/>
              <w:rPr>
                <w:color w:val="auto"/>
                <w:sz w:val="22"/>
                <w:szCs w:val="22"/>
                <w:highlight w:val="none"/>
              </w:rPr>
            </w:pPr>
            <w:r>
              <w:rPr>
                <w:color w:val="auto"/>
                <w:sz w:val="22"/>
                <w:szCs w:val="22"/>
                <w:highlight w:val="none"/>
              </w:rPr>
              <w:t>费</w:t>
            </w:r>
          </w:p>
        </w:tc>
        <w:tc>
          <w:tcPr>
            <w:tcW w:w="816" w:type="dxa"/>
            <w:vAlign w:val="top"/>
          </w:tcPr>
          <w:p w14:paraId="24E1041E">
            <w:pPr>
              <w:rPr>
                <w:rFonts w:ascii="Arial"/>
                <w:color w:val="auto"/>
                <w:sz w:val="21"/>
                <w:highlight w:val="none"/>
              </w:rPr>
            </w:pPr>
          </w:p>
        </w:tc>
        <w:tc>
          <w:tcPr>
            <w:tcW w:w="1080" w:type="dxa"/>
            <w:vAlign w:val="top"/>
          </w:tcPr>
          <w:p w14:paraId="18D23E0F">
            <w:pPr>
              <w:rPr>
                <w:rFonts w:ascii="Arial"/>
                <w:color w:val="auto"/>
                <w:sz w:val="21"/>
                <w:highlight w:val="none"/>
              </w:rPr>
            </w:pPr>
          </w:p>
        </w:tc>
        <w:tc>
          <w:tcPr>
            <w:tcW w:w="1079" w:type="dxa"/>
            <w:vAlign w:val="top"/>
          </w:tcPr>
          <w:p w14:paraId="0ECD0A48">
            <w:pPr>
              <w:rPr>
                <w:rFonts w:ascii="Arial"/>
                <w:color w:val="auto"/>
                <w:sz w:val="21"/>
                <w:highlight w:val="none"/>
              </w:rPr>
            </w:pPr>
          </w:p>
        </w:tc>
        <w:tc>
          <w:tcPr>
            <w:tcW w:w="1080" w:type="dxa"/>
            <w:vAlign w:val="top"/>
          </w:tcPr>
          <w:p w14:paraId="629824E4">
            <w:pPr>
              <w:rPr>
                <w:rFonts w:ascii="Arial"/>
                <w:color w:val="auto"/>
                <w:sz w:val="21"/>
                <w:highlight w:val="none"/>
              </w:rPr>
            </w:pPr>
          </w:p>
        </w:tc>
        <w:tc>
          <w:tcPr>
            <w:tcW w:w="1392" w:type="dxa"/>
            <w:vAlign w:val="top"/>
          </w:tcPr>
          <w:p w14:paraId="2267F592">
            <w:pPr>
              <w:rPr>
                <w:rFonts w:ascii="Arial"/>
                <w:color w:val="auto"/>
                <w:sz w:val="21"/>
                <w:highlight w:val="none"/>
              </w:rPr>
            </w:pPr>
          </w:p>
        </w:tc>
        <w:tc>
          <w:tcPr>
            <w:tcW w:w="1550" w:type="dxa"/>
            <w:vAlign w:val="top"/>
          </w:tcPr>
          <w:p w14:paraId="10C55C63">
            <w:pPr>
              <w:rPr>
                <w:rFonts w:ascii="Arial"/>
                <w:color w:val="auto"/>
                <w:sz w:val="21"/>
                <w:highlight w:val="none"/>
              </w:rPr>
            </w:pPr>
          </w:p>
        </w:tc>
      </w:tr>
      <w:tr w14:paraId="7DD2F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89" w:type="dxa"/>
            <w:vMerge w:val="continue"/>
            <w:tcBorders>
              <w:top w:val="nil"/>
              <w:bottom w:val="nil"/>
            </w:tcBorders>
            <w:vAlign w:val="top"/>
          </w:tcPr>
          <w:p w14:paraId="646BAC29">
            <w:pPr>
              <w:rPr>
                <w:rFonts w:ascii="Arial"/>
                <w:color w:val="auto"/>
                <w:sz w:val="21"/>
                <w:highlight w:val="none"/>
              </w:rPr>
            </w:pPr>
          </w:p>
        </w:tc>
        <w:tc>
          <w:tcPr>
            <w:tcW w:w="1344" w:type="dxa"/>
            <w:vAlign w:val="top"/>
          </w:tcPr>
          <w:p w14:paraId="76AB043F">
            <w:pPr>
              <w:pStyle w:val="239"/>
              <w:spacing w:before="54" w:line="237" w:lineRule="auto"/>
              <w:ind w:left="349" w:right="114" w:hanging="216"/>
              <w:rPr>
                <w:color w:val="auto"/>
                <w:sz w:val="22"/>
                <w:szCs w:val="22"/>
                <w:highlight w:val="none"/>
              </w:rPr>
            </w:pPr>
            <w:r>
              <w:rPr>
                <w:color w:val="auto"/>
                <w:spacing w:val="-2"/>
                <w:sz w:val="22"/>
                <w:szCs w:val="22"/>
                <w:highlight w:val="none"/>
              </w:rPr>
              <w:t>打饭是否一视同仁</w:t>
            </w:r>
          </w:p>
        </w:tc>
        <w:tc>
          <w:tcPr>
            <w:tcW w:w="816" w:type="dxa"/>
            <w:vAlign w:val="top"/>
          </w:tcPr>
          <w:p w14:paraId="14771F1A">
            <w:pPr>
              <w:rPr>
                <w:rFonts w:ascii="Arial"/>
                <w:color w:val="auto"/>
                <w:sz w:val="21"/>
                <w:highlight w:val="none"/>
              </w:rPr>
            </w:pPr>
          </w:p>
        </w:tc>
        <w:tc>
          <w:tcPr>
            <w:tcW w:w="1080" w:type="dxa"/>
            <w:vAlign w:val="top"/>
          </w:tcPr>
          <w:p w14:paraId="4E56B449">
            <w:pPr>
              <w:rPr>
                <w:rFonts w:ascii="Arial"/>
                <w:color w:val="auto"/>
                <w:sz w:val="21"/>
                <w:highlight w:val="none"/>
              </w:rPr>
            </w:pPr>
          </w:p>
        </w:tc>
        <w:tc>
          <w:tcPr>
            <w:tcW w:w="1079" w:type="dxa"/>
            <w:vAlign w:val="top"/>
          </w:tcPr>
          <w:p w14:paraId="5529A686">
            <w:pPr>
              <w:rPr>
                <w:rFonts w:ascii="Arial"/>
                <w:color w:val="auto"/>
                <w:sz w:val="21"/>
                <w:highlight w:val="none"/>
              </w:rPr>
            </w:pPr>
          </w:p>
        </w:tc>
        <w:tc>
          <w:tcPr>
            <w:tcW w:w="1080" w:type="dxa"/>
            <w:vAlign w:val="top"/>
          </w:tcPr>
          <w:p w14:paraId="71E19FD8">
            <w:pPr>
              <w:rPr>
                <w:rFonts w:ascii="Arial"/>
                <w:color w:val="auto"/>
                <w:sz w:val="21"/>
                <w:highlight w:val="none"/>
              </w:rPr>
            </w:pPr>
          </w:p>
        </w:tc>
        <w:tc>
          <w:tcPr>
            <w:tcW w:w="1392" w:type="dxa"/>
            <w:vAlign w:val="top"/>
          </w:tcPr>
          <w:p w14:paraId="40DB2FAC">
            <w:pPr>
              <w:rPr>
                <w:rFonts w:ascii="Arial"/>
                <w:color w:val="auto"/>
                <w:sz w:val="21"/>
                <w:highlight w:val="none"/>
              </w:rPr>
            </w:pPr>
          </w:p>
        </w:tc>
        <w:tc>
          <w:tcPr>
            <w:tcW w:w="1550" w:type="dxa"/>
            <w:vAlign w:val="top"/>
          </w:tcPr>
          <w:p w14:paraId="4F361F5D">
            <w:pPr>
              <w:rPr>
                <w:rFonts w:ascii="Arial"/>
                <w:color w:val="auto"/>
                <w:sz w:val="21"/>
                <w:highlight w:val="none"/>
              </w:rPr>
            </w:pPr>
          </w:p>
        </w:tc>
      </w:tr>
      <w:tr w14:paraId="6D472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8" w:hRule="atLeast"/>
        </w:trPr>
        <w:tc>
          <w:tcPr>
            <w:tcW w:w="1089" w:type="dxa"/>
            <w:vMerge w:val="continue"/>
            <w:tcBorders>
              <w:top w:val="nil"/>
              <w:bottom w:val="nil"/>
            </w:tcBorders>
            <w:vAlign w:val="top"/>
          </w:tcPr>
          <w:p w14:paraId="028C25F7">
            <w:pPr>
              <w:rPr>
                <w:rFonts w:ascii="Arial"/>
                <w:color w:val="auto"/>
                <w:sz w:val="21"/>
                <w:highlight w:val="none"/>
              </w:rPr>
            </w:pPr>
          </w:p>
        </w:tc>
        <w:tc>
          <w:tcPr>
            <w:tcW w:w="1344" w:type="dxa"/>
            <w:vAlign w:val="top"/>
          </w:tcPr>
          <w:p w14:paraId="0FE96202">
            <w:pPr>
              <w:pStyle w:val="239"/>
              <w:spacing w:before="55" w:line="236" w:lineRule="auto"/>
              <w:ind w:left="357" w:right="114" w:hanging="224"/>
              <w:rPr>
                <w:color w:val="auto"/>
                <w:sz w:val="22"/>
                <w:szCs w:val="22"/>
                <w:highlight w:val="none"/>
              </w:rPr>
            </w:pPr>
            <w:r>
              <w:rPr>
                <w:color w:val="auto"/>
                <w:spacing w:val="-2"/>
                <w:sz w:val="22"/>
                <w:szCs w:val="22"/>
                <w:highlight w:val="none"/>
              </w:rPr>
              <w:t>打饭速度及</w:t>
            </w:r>
            <w:r>
              <w:rPr>
                <w:color w:val="auto"/>
                <w:spacing w:val="-4"/>
                <w:sz w:val="22"/>
                <w:szCs w:val="22"/>
                <w:highlight w:val="none"/>
              </w:rPr>
              <w:t>责任心</w:t>
            </w:r>
          </w:p>
        </w:tc>
        <w:tc>
          <w:tcPr>
            <w:tcW w:w="816" w:type="dxa"/>
            <w:vAlign w:val="top"/>
          </w:tcPr>
          <w:p w14:paraId="023C3047">
            <w:pPr>
              <w:rPr>
                <w:rFonts w:ascii="Arial"/>
                <w:color w:val="auto"/>
                <w:sz w:val="21"/>
                <w:highlight w:val="none"/>
              </w:rPr>
            </w:pPr>
          </w:p>
        </w:tc>
        <w:tc>
          <w:tcPr>
            <w:tcW w:w="1080" w:type="dxa"/>
            <w:vAlign w:val="top"/>
          </w:tcPr>
          <w:p w14:paraId="1392A3E3">
            <w:pPr>
              <w:rPr>
                <w:rFonts w:ascii="Arial"/>
                <w:color w:val="auto"/>
                <w:sz w:val="21"/>
                <w:highlight w:val="none"/>
              </w:rPr>
            </w:pPr>
          </w:p>
        </w:tc>
        <w:tc>
          <w:tcPr>
            <w:tcW w:w="1079" w:type="dxa"/>
            <w:vAlign w:val="top"/>
          </w:tcPr>
          <w:p w14:paraId="79D1449A">
            <w:pPr>
              <w:rPr>
                <w:rFonts w:ascii="Arial"/>
                <w:color w:val="auto"/>
                <w:sz w:val="21"/>
                <w:highlight w:val="none"/>
              </w:rPr>
            </w:pPr>
          </w:p>
        </w:tc>
        <w:tc>
          <w:tcPr>
            <w:tcW w:w="1080" w:type="dxa"/>
            <w:vAlign w:val="top"/>
          </w:tcPr>
          <w:p w14:paraId="0FF1D193">
            <w:pPr>
              <w:rPr>
                <w:rFonts w:ascii="Arial"/>
                <w:color w:val="auto"/>
                <w:sz w:val="21"/>
                <w:highlight w:val="none"/>
              </w:rPr>
            </w:pPr>
          </w:p>
        </w:tc>
        <w:tc>
          <w:tcPr>
            <w:tcW w:w="1392" w:type="dxa"/>
            <w:vAlign w:val="top"/>
          </w:tcPr>
          <w:p w14:paraId="295C2738">
            <w:pPr>
              <w:rPr>
                <w:rFonts w:ascii="Arial"/>
                <w:color w:val="auto"/>
                <w:sz w:val="21"/>
                <w:highlight w:val="none"/>
              </w:rPr>
            </w:pPr>
          </w:p>
        </w:tc>
        <w:tc>
          <w:tcPr>
            <w:tcW w:w="1550" w:type="dxa"/>
            <w:vAlign w:val="top"/>
          </w:tcPr>
          <w:p w14:paraId="35EC507D">
            <w:pPr>
              <w:rPr>
                <w:rFonts w:ascii="Arial"/>
                <w:color w:val="auto"/>
                <w:sz w:val="21"/>
                <w:highlight w:val="none"/>
              </w:rPr>
            </w:pPr>
          </w:p>
        </w:tc>
      </w:tr>
      <w:tr w14:paraId="774FE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89" w:type="dxa"/>
            <w:vMerge w:val="continue"/>
            <w:tcBorders>
              <w:top w:val="nil"/>
              <w:bottom w:val="nil"/>
            </w:tcBorders>
            <w:vAlign w:val="top"/>
          </w:tcPr>
          <w:p w14:paraId="4FEB8BA1">
            <w:pPr>
              <w:rPr>
                <w:rFonts w:ascii="Arial"/>
                <w:color w:val="auto"/>
                <w:sz w:val="21"/>
                <w:highlight w:val="none"/>
              </w:rPr>
            </w:pPr>
          </w:p>
        </w:tc>
        <w:tc>
          <w:tcPr>
            <w:tcW w:w="1344" w:type="dxa"/>
            <w:vAlign w:val="top"/>
          </w:tcPr>
          <w:p w14:paraId="418A642B">
            <w:pPr>
              <w:pStyle w:val="239"/>
              <w:spacing w:before="55" w:line="236" w:lineRule="auto"/>
              <w:ind w:left="565" w:right="114" w:hanging="418"/>
              <w:rPr>
                <w:color w:val="auto"/>
                <w:sz w:val="22"/>
                <w:szCs w:val="22"/>
                <w:highlight w:val="none"/>
              </w:rPr>
            </w:pPr>
            <w:r>
              <w:rPr>
                <w:color w:val="auto"/>
                <w:spacing w:val="-5"/>
                <w:sz w:val="22"/>
                <w:szCs w:val="22"/>
                <w:highlight w:val="none"/>
              </w:rPr>
              <w:t>品种是否齐</w:t>
            </w:r>
            <w:r>
              <w:rPr>
                <w:color w:val="auto"/>
                <w:sz w:val="22"/>
                <w:szCs w:val="22"/>
                <w:highlight w:val="none"/>
              </w:rPr>
              <w:t>全</w:t>
            </w:r>
          </w:p>
        </w:tc>
        <w:tc>
          <w:tcPr>
            <w:tcW w:w="816" w:type="dxa"/>
            <w:vAlign w:val="top"/>
          </w:tcPr>
          <w:p w14:paraId="151B1016">
            <w:pPr>
              <w:rPr>
                <w:rFonts w:ascii="Arial"/>
                <w:color w:val="auto"/>
                <w:sz w:val="21"/>
                <w:highlight w:val="none"/>
              </w:rPr>
            </w:pPr>
          </w:p>
        </w:tc>
        <w:tc>
          <w:tcPr>
            <w:tcW w:w="1080" w:type="dxa"/>
            <w:vAlign w:val="top"/>
          </w:tcPr>
          <w:p w14:paraId="7B4DEB01">
            <w:pPr>
              <w:rPr>
                <w:rFonts w:ascii="Arial"/>
                <w:color w:val="auto"/>
                <w:sz w:val="21"/>
                <w:highlight w:val="none"/>
              </w:rPr>
            </w:pPr>
          </w:p>
        </w:tc>
        <w:tc>
          <w:tcPr>
            <w:tcW w:w="1079" w:type="dxa"/>
            <w:vAlign w:val="top"/>
          </w:tcPr>
          <w:p w14:paraId="2A59BCE7">
            <w:pPr>
              <w:rPr>
                <w:rFonts w:ascii="Arial"/>
                <w:color w:val="auto"/>
                <w:sz w:val="21"/>
                <w:highlight w:val="none"/>
              </w:rPr>
            </w:pPr>
          </w:p>
        </w:tc>
        <w:tc>
          <w:tcPr>
            <w:tcW w:w="1080" w:type="dxa"/>
            <w:vAlign w:val="top"/>
          </w:tcPr>
          <w:p w14:paraId="45C88BAE">
            <w:pPr>
              <w:rPr>
                <w:rFonts w:ascii="Arial"/>
                <w:color w:val="auto"/>
                <w:sz w:val="21"/>
                <w:highlight w:val="none"/>
              </w:rPr>
            </w:pPr>
          </w:p>
        </w:tc>
        <w:tc>
          <w:tcPr>
            <w:tcW w:w="1392" w:type="dxa"/>
            <w:vAlign w:val="top"/>
          </w:tcPr>
          <w:p w14:paraId="42C6F481">
            <w:pPr>
              <w:rPr>
                <w:rFonts w:ascii="Arial"/>
                <w:color w:val="auto"/>
                <w:sz w:val="21"/>
                <w:highlight w:val="none"/>
              </w:rPr>
            </w:pPr>
          </w:p>
        </w:tc>
        <w:tc>
          <w:tcPr>
            <w:tcW w:w="1550" w:type="dxa"/>
            <w:vAlign w:val="top"/>
          </w:tcPr>
          <w:p w14:paraId="5882105F">
            <w:pPr>
              <w:rPr>
                <w:rFonts w:ascii="Arial"/>
                <w:color w:val="auto"/>
                <w:sz w:val="21"/>
                <w:highlight w:val="none"/>
              </w:rPr>
            </w:pPr>
          </w:p>
        </w:tc>
      </w:tr>
      <w:tr w14:paraId="50D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2" w:hRule="atLeast"/>
        </w:trPr>
        <w:tc>
          <w:tcPr>
            <w:tcW w:w="1089" w:type="dxa"/>
            <w:vMerge w:val="continue"/>
            <w:tcBorders>
              <w:top w:val="nil"/>
            </w:tcBorders>
            <w:vAlign w:val="top"/>
          </w:tcPr>
          <w:p w14:paraId="229959AF">
            <w:pPr>
              <w:rPr>
                <w:rFonts w:ascii="Arial"/>
                <w:color w:val="auto"/>
                <w:sz w:val="21"/>
                <w:highlight w:val="none"/>
              </w:rPr>
            </w:pPr>
          </w:p>
        </w:tc>
        <w:tc>
          <w:tcPr>
            <w:tcW w:w="1344" w:type="dxa"/>
            <w:vAlign w:val="top"/>
          </w:tcPr>
          <w:p w14:paraId="65AD5802">
            <w:pPr>
              <w:pStyle w:val="239"/>
              <w:spacing w:before="172" w:line="219" w:lineRule="auto"/>
              <w:ind w:left="130"/>
              <w:rPr>
                <w:color w:val="auto"/>
                <w:sz w:val="22"/>
                <w:szCs w:val="22"/>
                <w:highlight w:val="none"/>
              </w:rPr>
            </w:pPr>
            <w:r>
              <w:rPr>
                <w:color w:val="auto"/>
                <w:spacing w:val="-1"/>
                <w:sz w:val="22"/>
                <w:szCs w:val="22"/>
                <w:highlight w:val="none"/>
              </w:rPr>
              <w:t>使用礼貌用</w:t>
            </w:r>
          </w:p>
        </w:tc>
        <w:tc>
          <w:tcPr>
            <w:tcW w:w="816" w:type="dxa"/>
            <w:vAlign w:val="top"/>
          </w:tcPr>
          <w:p w14:paraId="59C8EBE5">
            <w:pPr>
              <w:rPr>
                <w:rFonts w:ascii="Arial"/>
                <w:color w:val="auto"/>
                <w:sz w:val="21"/>
                <w:highlight w:val="none"/>
              </w:rPr>
            </w:pPr>
          </w:p>
        </w:tc>
        <w:tc>
          <w:tcPr>
            <w:tcW w:w="1080" w:type="dxa"/>
            <w:vAlign w:val="top"/>
          </w:tcPr>
          <w:p w14:paraId="33A59BC5">
            <w:pPr>
              <w:rPr>
                <w:rFonts w:ascii="Arial"/>
                <w:color w:val="auto"/>
                <w:sz w:val="21"/>
                <w:highlight w:val="none"/>
              </w:rPr>
            </w:pPr>
          </w:p>
        </w:tc>
        <w:tc>
          <w:tcPr>
            <w:tcW w:w="1079" w:type="dxa"/>
            <w:vAlign w:val="top"/>
          </w:tcPr>
          <w:p w14:paraId="6C3E3A5D">
            <w:pPr>
              <w:rPr>
                <w:rFonts w:ascii="Arial"/>
                <w:color w:val="auto"/>
                <w:sz w:val="21"/>
                <w:highlight w:val="none"/>
              </w:rPr>
            </w:pPr>
          </w:p>
        </w:tc>
        <w:tc>
          <w:tcPr>
            <w:tcW w:w="1080" w:type="dxa"/>
            <w:vAlign w:val="top"/>
          </w:tcPr>
          <w:p w14:paraId="2DE430C3">
            <w:pPr>
              <w:rPr>
                <w:rFonts w:ascii="Arial"/>
                <w:color w:val="auto"/>
                <w:sz w:val="21"/>
                <w:highlight w:val="none"/>
              </w:rPr>
            </w:pPr>
          </w:p>
        </w:tc>
        <w:tc>
          <w:tcPr>
            <w:tcW w:w="1392" w:type="dxa"/>
            <w:vAlign w:val="top"/>
          </w:tcPr>
          <w:p w14:paraId="7B966A1B">
            <w:pPr>
              <w:rPr>
                <w:rFonts w:ascii="Arial"/>
                <w:color w:val="auto"/>
                <w:sz w:val="21"/>
                <w:highlight w:val="none"/>
              </w:rPr>
            </w:pPr>
          </w:p>
        </w:tc>
        <w:tc>
          <w:tcPr>
            <w:tcW w:w="1550" w:type="dxa"/>
            <w:vAlign w:val="top"/>
          </w:tcPr>
          <w:p w14:paraId="32D37213">
            <w:pPr>
              <w:rPr>
                <w:rFonts w:ascii="Arial"/>
                <w:color w:val="auto"/>
                <w:sz w:val="21"/>
                <w:highlight w:val="none"/>
              </w:rPr>
            </w:pPr>
          </w:p>
        </w:tc>
      </w:tr>
    </w:tbl>
    <w:p w14:paraId="3349D86C">
      <w:pPr>
        <w:pStyle w:val="14"/>
        <w:spacing w:line="231" w:lineRule="exact"/>
        <w:rPr>
          <w:color w:val="auto"/>
          <w:sz w:val="20"/>
          <w:highlight w:val="none"/>
        </w:rPr>
      </w:pPr>
    </w:p>
    <w:p w14:paraId="3B88DB01">
      <w:pPr>
        <w:spacing w:line="231" w:lineRule="exact"/>
        <w:rPr>
          <w:color w:val="auto"/>
          <w:sz w:val="20"/>
          <w:szCs w:val="20"/>
          <w:highlight w:val="none"/>
        </w:rPr>
        <w:sectPr>
          <w:footerReference r:id="rId7" w:type="default"/>
          <w:pgSz w:w="11905" w:h="16839"/>
          <w:pgMar w:top="1167" w:right="0" w:bottom="1198" w:left="0" w:header="826" w:footer="968" w:gutter="0"/>
          <w:pgNumType w:fmt="decimal"/>
          <w:cols w:space="720" w:num="1"/>
        </w:sectPr>
      </w:pPr>
    </w:p>
    <w:tbl>
      <w:tblPr>
        <w:tblStyle w:val="240"/>
        <w:tblpPr w:leftFromText="180" w:rightFromText="180" w:vertAnchor="text" w:horzAnchor="page" w:tblpX="1549" w:tblpY="76"/>
        <w:tblOverlap w:val="never"/>
        <w:tblW w:w="943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9"/>
        <w:gridCol w:w="1344"/>
        <w:gridCol w:w="816"/>
        <w:gridCol w:w="1080"/>
        <w:gridCol w:w="1079"/>
        <w:gridCol w:w="1080"/>
        <w:gridCol w:w="1392"/>
        <w:gridCol w:w="1550"/>
      </w:tblGrid>
      <w:tr w14:paraId="51D9B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089" w:type="dxa"/>
            <w:vMerge w:val="restart"/>
            <w:tcBorders>
              <w:top w:val="nil"/>
              <w:bottom w:val="nil"/>
            </w:tcBorders>
            <w:vAlign w:val="top"/>
          </w:tcPr>
          <w:p w14:paraId="4794B5E8">
            <w:pPr>
              <w:rPr>
                <w:rFonts w:ascii="Arial"/>
                <w:color w:val="auto"/>
                <w:sz w:val="21"/>
                <w:highlight w:val="none"/>
              </w:rPr>
            </w:pPr>
          </w:p>
        </w:tc>
        <w:tc>
          <w:tcPr>
            <w:tcW w:w="1344" w:type="dxa"/>
            <w:tcBorders>
              <w:top w:val="nil"/>
            </w:tcBorders>
            <w:vAlign w:val="top"/>
          </w:tcPr>
          <w:p w14:paraId="402C4BB7">
            <w:pPr>
              <w:pStyle w:val="239"/>
              <w:spacing w:before="50" w:line="223" w:lineRule="auto"/>
              <w:ind w:left="566"/>
              <w:rPr>
                <w:color w:val="auto"/>
                <w:sz w:val="22"/>
                <w:szCs w:val="22"/>
                <w:highlight w:val="none"/>
              </w:rPr>
            </w:pPr>
            <w:r>
              <w:rPr>
                <w:color w:val="auto"/>
                <w:sz w:val="22"/>
                <w:szCs w:val="22"/>
                <w:highlight w:val="none"/>
              </w:rPr>
              <w:t>语</w:t>
            </w:r>
          </w:p>
        </w:tc>
        <w:tc>
          <w:tcPr>
            <w:tcW w:w="816" w:type="dxa"/>
            <w:tcBorders>
              <w:top w:val="nil"/>
            </w:tcBorders>
            <w:vAlign w:val="top"/>
          </w:tcPr>
          <w:p w14:paraId="5C7D0C7B">
            <w:pPr>
              <w:rPr>
                <w:rFonts w:ascii="Arial"/>
                <w:color w:val="auto"/>
                <w:sz w:val="21"/>
                <w:highlight w:val="none"/>
              </w:rPr>
            </w:pPr>
          </w:p>
        </w:tc>
        <w:tc>
          <w:tcPr>
            <w:tcW w:w="1080" w:type="dxa"/>
            <w:tcBorders>
              <w:top w:val="nil"/>
            </w:tcBorders>
            <w:vAlign w:val="top"/>
          </w:tcPr>
          <w:p w14:paraId="10BC0F54">
            <w:pPr>
              <w:rPr>
                <w:rFonts w:ascii="Arial"/>
                <w:color w:val="auto"/>
                <w:sz w:val="21"/>
                <w:highlight w:val="none"/>
              </w:rPr>
            </w:pPr>
          </w:p>
        </w:tc>
        <w:tc>
          <w:tcPr>
            <w:tcW w:w="1079" w:type="dxa"/>
            <w:tcBorders>
              <w:top w:val="nil"/>
            </w:tcBorders>
            <w:vAlign w:val="top"/>
          </w:tcPr>
          <w:p w14:paraId="523A95CE">
            <w:pPr>
              <w:rPr>
                <w:rFonts w:ascii="Arial"/>
                <w:color w:val="auto"/>
                <w:sz w:val="21"/>
                <w:highlight w:val="none"/>
              </w:rPr>
            </w:pPr>
          </w:p>
        </w:tc>
        <w:tc>
          <w:tcPr>
            <w:tcW w:w="1080" w:type="dxa"/>
            <w:tcBorders>
              <w:top w:val="nil"/>
            </w:tcBorders>
            <w:vAlign w:val="top"/>
          </w:tcPr>
          <w:p w14:paraId="0CFE8BAC">
            <w:pPr>
              <w:rPr>
                <w:rFonts w:ascii="Arial"/>
                <w:color w:val="auto"/>
                <w:sz w:val="21"/>
                <w:highlight w:val="none"/>
              </w:rPr>
            </w:pPr>
          </w:p>
        </w:tc>
        <w:tc>
          <w:tcPr>
            <w:tcW w:w="1392" w:type="dxa"/>
            <w:tcBorders>
              <w:top w:val="nil"/>
            </w:tcBorders>
            <w:vAlign w:val="top"/>
          </w:tcPr>
          <w:p w14:paraId="6A03864A">
            <w:pPr>
              <w:rPr>
                <w:rFonts w:ascii="Arial"/>
                <w:color w:val="auto"/>
                <w:sz w:val="21"/>
                <w:highlight w:val="none"/>
              </w:rPr>
            </w:pPr>
          </w:p>
        </w:tc>
        <w:tc>
          <w:tcPr>
            <w:tcW w:w="1550" w:type="dxa"/>
            <w:tcBorders>
              <w:top w:val="nil"/>
            </w:tcBorders>
            <w:vAlign w:val="top"/>
          </w:tcPr>
          <w:p w14:paraId="04EF9B83">
            <w:pPr>
              <w:rPr>
                <w:rFonts w:ascii="Arial"/>
                <w:color w:val="auto"/>
                <w:sz w:val="21"/>
                <w:highlight w:val="none"/>
              </w:rPr>
            </w:pPr>
          </w:p>
        </w:tc>
      </w:tr>
      <w:tr w14:paraId="400FE7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89" w:type="dxa"/>
            <w:vMerge w:val="continue"/>
            <w:tcBorders>
              <w:top w:val="nil"/>
              <w:bottom w:val="nil"/>
            </w:tcBorders>
            <w:vAlign w:val="top"/>
          </w:tcPr>
          <w:p w14:paraId="09C37B82">
            <w:pPr>
              <w:rPr>
                <w:rFonts w:ascii="Arial"/>
                <w:color w:val="auto"/>
                <w:sz w:val="21"/>
                <w:highlight w:val="none"/>
              </w:rPr>
            </w:pPr>
          </w:p>
        </w:tc>
        <w:tc>
          <w:tcPr>
            <w:tcW w:w="1344" w:type="dxa"/>
            <w:tcBorders>
              <w:bottom w:val="single" w:color="000000" w:sz="4" w:space="0"/>
            </w:tcBorders>
            <w:vAlign w:val="top"/>
          </w:tcPr>
          <w:p w14:paraId="4B6A98C9">
            <w:pPr>
              <w:pStyle w:val="239"/>
              <w:spacing w:before="49" w:line="239" w:lineRule="auto"/>
              <w:ind w:left="571" w:right="114" w:hanging="442"/>
              <w:rPr>
                <w:color w:val="auto"/>
                <w:sz w:val="22"/>
                <w:szCs w:val="22"/>
                <w:highlight w:val="none"/>
              </w:rPr>
            </w:pPr>
            <w:r>
              <w:rPr>
                <w:color w:val="auto"/>
                <w:spacing w:val="-1"/>
                <w:sz w:val="22"/>
                <w:szCs w:val="22"/>
                <w:highlight w:val="none"/>
              </w:rPr>
              <w:t>服务是否规</w:t>
            </w:r>
            <w:r>
              <w:rPr>
                <w:color w:val="auto"/>
                <w:sz w:val="22"/>
                <w:szCs w:val="22"/>
                <w:highlight w:val="none"/>
              </w:rPr>
              <w:t>范</w:t>
            </w:r>
          </w:p>
        </w:tc>
        <w:tc>
          <w:tcPr>
            <w:tcW w:w="816" w:type="dxa"/>
            <w:tcBorders>
              <w:bottom w:val="single" w:color="000000" w:sz="4" w:space="0"/>
            </w:tcBorders>
            <w:vAlign w:val="top"/>
          </w:tcPr>
          <w:p w14:paraId="030FC5B4">
            <w:pPr>
              <w:rPr>
                <w:rFonts w:ascii="Arial"/>
                <w:color w:val="auto"/>
                <w:sz w:val="21"/>
                <w:highlight w:val="none"/>
              </w:rPr>
            </w:pPr>
          </w:p>
        </w:tc>
        <w:tc>
          <w:tcPr>
            <w:tcW w:w="1080" w:type="dxa"/>
            <w:tcBorders>
              <w:bottom w:val="single" w:color="000000" w:sz="4" w:space="0"/>
            </w:tcBorders>
            <w:vAlign w:val="top"/>
          </w:tcPr>
          <w:p w14:paraId="17D33B52">
            <w:pPr>
              <w:rPr>
                <w:rFonts w:ascii="Arial"/>
                <w:color w:val="auto"/>
                <w:sz w:val="21"/>
                <w:highlight w:val="none"/>
              </w:rPr>
            </w:pPr>
          </w:p>
        </w:tc>
        <w:tc>
          <w:tcPr>
            <w:tcW w:w="1079" w:type="dxa"/>
            <w:tcBorders>
              <w:bottom w:val="single" w:color="000000" w:sz="4" w:space="0"/>
            </w:tcBorders>
            <w:vAlign w:val="top"/>
          </w:tcPr>
          <w:p w14:paraId="1A284DE9">
            <w:pPr>
              <w:rPr>
                <w:rFonts w:ascii="Arial"/>
                <w:color w:val="auto"/>
                <w:sz w:val="21"/>
                <w:highlight w:val="none"/>
              </w:rPr>
            </w:pPr>
          </w:p>
        </w:tc>
        <w:tc>
          <w:tcPr>
            <w:tcW w:w="1080" w:type="dxa"/>
            <w:tcBorders>
              <w:bottom w:val="single" w:color="000000" w:sz="4" w:space="0"/>
            </w:tcBorders>
            <w:vAlign w:val="top"/>
          </w:tcPr>
          <w:p w14:paraId="2AA6F265">
            <w:pPr>
              <w:rPr>
                <w:rFonts w:ascii="Arial"/>
                <w:color w:val="auto"/>
                <w:sz w:val="21"/>
                <w:highlight w:val="none"/>
              </w:rPr>
            </w:pPr>
          </w:p>
        </w:tc>
        <w:tc>
          <w:tcPr>
            <w:tcW w:w="1392" w:type="dxa"/>
            <w:tcBorders>
              <w:bottom w:val="single" w:color="000000" w:sz="4" w:space="0"/>
            </w:tcBorders>
            <w:vAlign w:val="top"/>
          </w:tcPr>
          <w:p w14:paraId="068AD37F">
            <w:pPr>
              <w:rPr>
                <w:rFonts w:ascii="Arial"/>
                <w:color w:val="auto"/>
                <w:sz w:val="21"/>
                <w:highlight w:val="none"/>
              </w:rPr>
            </w:pPr>
          </w:p>
        </w:tc>
        <w:tc>
          <w:tcPr>
            <w:tcW w:w="1550" w:type="dxa"/>
            <w:tcBorders>
              <w:bottom w:val="single" w:color="000000" w:sz="4" w:space="0"/>
            </w:tcBorders>
            <w:vAlign w:val="top"/>
          </w:tcPr>
          <w:p w14:paraId="6269BF3F">
            <w:pPr>
              <w:rPr>
                <w:rFonts w:ascii="Arial"/>
                <w:color w:val="auto"/>
                <w:sz w:val="21"/>
                <w:highlight w:val="none"/>
              </w:rPr>
            </w:pPr>
          </w:p>
        </w:tc>
      </w:tr>
      <w:tr w14:paraId="07B47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3" w:hRule="atLeast"/>
        </w:trPr>
        <w:tc>
          <w:tcPr>
            <w:tcW w:w="1089" w:type="dxa"/>
            <w:vMerge w:val="continue"/>
            <w:tcBorders>
              <w:top w:val="nil"/>
            </w:tcBorders>
            <w:vAlign w:val="top"/>
          </w:tcPr>
          <w:p w14:paraId="64D45DC2">
            <w:pPr>
              <w:rPr>
                <w:rFonts w:ascii="Arial"/>
                <w:color w:val="auto"/>
                <w:sz w:val="21"/>
                <w:highlight w:val="none"/>
              </w:rPr>
            </w:pPr>
          </w:p>
        </w:tc>
        <w:tc>
          <w:tcPr>
            <w:tcW w:w="1344" w:type="dxa"/>
            <w:tcBorders>
              <w:top w:val="single" w:color="000000" w:sz="4" w:space="0"/>
            </w:tcBorders>
            <w:vAlign w:val="top"/>
          </w:tcPr>
          <w:p w14:paraId="39B14584">
            <w:pPr>
              <w:pStyle w:val="239"/>
              <w:spacing w:before="45" w:line="238" w:lineRule="auto"/>
              <w:ind w:left="567" w:right="114" w:hanging="439"/>
              <w:rPr>
                <w:color w:val="auto"/>
                <w:sz w:val="22"/>
                <w:szCs w:val="22"/>
                <w:highlight w:val="none"/>
              </w:rPr>
            </w:pPr>
            <w:r>
              <w:rPr>
                <w:color w:val="auto"/>
                <w:spacing w:val="-1"/>
                <w:sz w:val="22"/>
                <w:szCs w:val="22"/>
                <w:highlight w:val="none"/>
              </w:rPr>
              <w:t>接待服务情</w:t>
            </w:r>
            <w:r>
              <w:rPr>
                <w:color w:val="auto"/>
                <w:sz w:val="22"/>
                <w:szCs w:val="22"/>
                <w:highlight w:val="none"/>
              </w:rPr>
              <w:t>况</w:t>
            </w:r>
          </w:p>
        </w:tc>
        <w:tc>
          <w:tcPr>
            <w:tcW w:w="816" w:type="dxa"/>
            <w:tcBorders>
              <w:top w:val="single" w:color="000000" w:sz="4" w:space="0"/>
            </w:tcBorders>
            <w:vAlign w:val="top"/>
          </w:tcPr>
          <w:p w14:paraId="79F6B81E">
            <w:pPr>
              <w:rPr>
                <w:rFonts w:ascii="Arial"/>
                <w:color w:val="auto"/>
                <w:sz w:val="21"/>
                <w:highlight w:val="none"/>
              </w:rPr>
            </w:pPr>
          </w:p>
        </w:tc>
        <w:tc>
          <w:tcPr>
            <w:tcW w:w="1080" w:type="dxa"/>
            <w:tcBorders>
              <w:top w:val="single" w:color="000000" w:sz="4" w:space="0"/>
            </w:tcBorders>
            <w:vAlign w:val="top"/>
          </w:tcPr>
          <w:p w14:paraId="3AB211B7">
            <w:pPr>
              <w:rPr>
                <w:rFonts w:ascii="Arial"/>
                <w:color w:val="auto"/>
                <w:sz w:val="21"/>
                <w:highlight w:val="none"/>
              </w:rPr>
            </w:pPr>
          </w:p>
        </w:tc>
        <w:tc>
          <w:tcPr>
            <w:tcW w:w="1079" w:type="dxa"/>
            <w:tcBorders>
              <w:top w:val="single" w:color="000000" w:sz="4" w:space="0"/>
            </w:tcBorders>
            <w:vAlign w:val="top"/>
          </w:tcPr>
          <w:p w14:paraId="78C9C8A1">
            <w:pPr>
              <w:rPr>
                <w:rFonts w:ascii="Arial"/>
                <w:color w:val="auto"/>
                <w:sz w:val="21"/>
                <w:highlight w:val="none"/>
              </w:rPr>
            </w:pPr>
          </w:p>
        </w:tc>
        <w:tc>
          <w:tcPr>
            <w:tcW w:w="1080" w:type="dxa"/>
            <w:tcBorders>
              <w:top w:val="single" w:color="000000" w:sz="4" w:space="0"/>
            </w:tcBorders>
            <w:vAlign w:val="top"/>
          </w:tcPr>
          <w:p w14:paraId="6B447A3E">
            <w:pPr>
              <w:rPr>
                <w:rFonts w:ascii="Arial"/>
                <w:color w:val="auto"/>
                <w:sz w:val="21"/>
                <w:highlight w:val="none"/>
              </w:rPr>
            </w:pPr>
          </w:p>
        </w:tc>
        <w:tc>
          <w:tcPr>
            <w:tcW w:w="1392" w:type="dxa"/>
            <w:tcBorders>
              <w:top w:val="single" w:color="000000" w:sz="4" w:space="0"/>
            </w:tcBorders>
            <w:vAlign w:val="top"/>
          </w:tcPr>
          <w:p w14:paraId="2581B545">
            <w:pPr>
              <w:rPr>
                <w:rFonts w:ascii="Arial"/>
                <w:color w:val="auto"/>
                <w:sz w:val="21"/>
                <w:highlight w:val="none"/>
              </w:rPr>
            </w:pPr>
          </w:p>
        </w:tc>
        <w:tc>
          <w:tcPr>
            <w:tcW w:w="1550" w:type="dxa"/>
            <w:tcBorders>
              <w:top w:val="single" w:color="000000" w:sz="4" w:space="0"/>
            </w:tcBorders>
            <w:vAlign w:val="top"/>
          </w:tcPr>
          <w:p w14:paraId="23366849">
            <w:pPr>
              <w:rPr>
                <w:rFonts w:ascii="Arial"/>
                <w:color w:val="auto"/>
                <w:sz w:val="21"/>
                <w:highlight w:val="none"/>
              </w:rPr>
            </w:pPr>
          </w:p>
        </w:tc>
      </w:tr>
      <w:tr w14:paraId="76FD99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89" w:type="dxa"/>
            <w:vAlign w:val="top"/>
          </w:tcPr>
          <w:p w14:paraId="33AC1CBC">
            <w:pPr>
              <w:pStyle w:val="239"/>
              <w:spacing w:before="51" w:line="220" w:lineRule="auto"/>
              <w:ind w:left="55"/>
              <w:rPr>
                <w:color w:val="auto"/>
                <w:sz w:val="22"/>
                <w:szCs w:val="22"/>
                <w:highlight w:val="none"/>
              </w:rPr>
            </w:pPr>
            <w:r>
              <w:rPr>
                <w:color w:val="auto"/>
                <w:spacing w:val="-4"/>
                <w:sz w:val="22"/>
                <w:szCs w:val="22"/>
                <w:highlight w:val="none"/>
              </w:rPr>
              <w:t>接</w:t>
            </w:r>
            <w:r>
              <w:rPr>
                <w:color w:val="auto"/>
                <w:spacing w:val="5"/>
                <w:sz w:val="22"/>
                <w:szCs w:val="22"/>
                <w:highlight w:val="none"/>
              </w:rPr>
              <w:t xml:space="preserve">  </w:t>
            </w:r>
            <w:r>
              <w:rPr>
                <w:color w:val="auto"/>
                <w:spacing w:val="-4"/>
                <w:sz w:val="22"/>
                <w:szCs w:val="22"/>
                <w:highlight w:val="none"/>
              </w:rPr>
              <w:t>待（5</w:t>
            </w:r>
          </w:p>
          <w:p w14:paraId="2B5323AB">
            <w:pPr>
              <w:pStyle w:val="239"/>
              <w:spacing w:before="49" w:line="214" w:lineRule="auto"/>
              <w:ind w:left="332"/>
              <w:rPr>
                <w:color w:val="auto"/>
                <w:sz w:val="22"/>
                <w:szCs w:val="22"/>
                <w:highlight w:val="none"/>
              </w:rPr>
            </w:pPr>
            <w:r>
              <w:rPr>
                <w:color w:val="auto"/>
                <w:spacing w:val="-7"/>
                <w:sz w:val="22"/>
                <w:szCs w:val="22"/>
                <w:highlight w:val="none"/>
              </w:rPr>
              <w:t>分）</w:t>
            </w:r>
          </w:p>
        </w:tc>
        <w:tc>
          <w:tcPr>
            <w:tcW w:w="1344" w:type="dxa"/>
            <w:vAlign w:val="top"/>
          </w:tcPr>
          <w:p w14:paraId="5EC77BC9">
            <w:pPr>
              <w:pStyle w:val="239"/>
              <w:spacing w:before="204" w:line="220" w:lineRule="auto"/>
              <w:ind w:left="240"/>
              <w:rPr>
                <w:color w:val="auto"/>
                <w:sz w:val="22"/>
                <w:szCs w:val="22"/>
                <w:highlight w:val="none"/>
              </w:rPr>
            </w:pPr>
            <w:r>
              <w:rPr>
                <w:color w:val="auto"/>
                <w:spacing w:val="-2"/>
                <w:sz w:val="22"/>
                <w:szCs w:val="22"/>
                <w:highlight w:val="none"/>
              </w:rPr>
              <w:t>仪容仪表</w:t>
            </w:r>
          </w:p>
        </w:tc>
        <w:tc>
          <w:tcPr>
            <w:tcW w:w="816" w:type="dxa"/>
            <w:vAlign w:val="top"/>
          </w:tcPr>
          <w:p w14:paraId="73E65CA5">
            <w:pPr>
              <w:rPr>
                <w:rFonts w:ascii="Arial"/>
                <w:color w:val="auto"/>
                <w:sz w:val="21"/>
                <w:highlight w:val="none"/>
              </w:rPr>
            </w:pPr>
          </w:p>
        </w:tc>
        <w:tc>
          <w:tcPr>
            <w:tcW w:w="1080" w:type="dxa"/>
            <w:vAlign w:val="top"/>
          </w:tcPr>
          <w:p w14:paraId="52F1DB2F">
            <w:pPr>
              <w:rPr>
                <w:rFonts w:ascii="Arial"/>
                <w:color w:val="auto"/>
                <w:sz w:val="21"/>
                <w:highlight w:val="none"/>
              </w:rPr>
            </w:pPr>
          </w:p>
        </w:tc>
        <w:tc>
          <w:tcPr>
            <w:tcW w:w="1079" w:type="dxa"/>
            <w:vAlign w:val="top"/>
          </w:tcPr>
          <w:p w14:paraId="22F05E44">
            <w:pPr>
              <w:rPr>
                <w:rFonts w:ascii="Arial"/>
                <w:color w:val="auto"/>
                <w:sz w:val="21"/>
                <w:highlight w:val="none"/>
              </w:rPr>
            </w:pPr>
          </w:p>
        </w:tc>
        <w:tc>
          <w:tcPr>
            <w:tcW w:w="1080" w:type="dxa"/>
            <w:vAlign w:val="top"/>
          </w:tcPr>
          <w:p w14:paraId="50EC0B2A">
            <w:pPr>
              <w:rPr>
                <w:rFonts w:ascii="Arial"/>
                <w:color w:val="auto"/>
                <w:sz w:val="21"/>
                <w:highlight w:val="none"/>
              </w:rPr>
            </w:pPr>
          </w:p>
        </w:tc>
        <w:tc>
          <w:tcPr>
            <w:tcW w:w="1392" w:type="dxa"/>
            <w:vAlign w:val="top"/>
          </w:tcPr>
          <w:p w14:paraId="36DB81D0">
            <w:pPr>
              <w:rPr>
                <w:rFonts w:ascii="Arial"/>
                <w:color w:val="auto"/>
                <w:sz w:val="21"/>
                <w:highlight w:val="none"/>
              </w:rPr>
            </w:pPr>
          </w:p>
        </w:tc>
        <w:tc>
          <w:tcPr>
            <w:tcW w:w="1550" w:type="dxa"/>
            <w:vAlign w:val="top"/>
          </w:tcPr>
          <w:p w14:paraId="31181036">
            <w:pPr>
              <w:rPr>
                <w:rFonts w:ascii="Arial"/>
                <w:color w:val="auto"/>
                <w:sz w:val="21"/>
                <w:highlight w:val="none"/>
              </w:rPr>
            </w:pPr>
          </w:p>
        </w:tc>
      </w:tr>
      <w:tr w14:paraId="2F988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44" w:hRule="atLeast"/>
        </w:trPr>
        <w:tc>
          <w:tcPr>
            <w:tcW w:w="2433" w:type="dxa"/>
            <w:gridSpan w:val="2"/>
            <w:vAlign w:val="top"/>
          </w:tcPr>
          <w:p w14:paraId="261730A7">
            <w:pPr>
              <w:pStyle w:val="239"/>
              <w:spacing w:before="156" w:line="265" w:lineRule="auto"/>
              <w:ind w:left="29" w:right="204" w:hanging="2"/>
              <w:rPr>
                <w:color w:val="auto"/>
                <w:sz w:val="22"/>
                <w:szCs w:val="22"/>
                <w:highlight w:val="none"/>
              </w:rPr>
            </w:pPr>
            <w:r>
              <w:rPr>
                <w:color w:val="auto"/>
                <w:spacing w:val="-1"/>
                <w:sz w:val="22"/>
                <w:szCs w:val="22"/>
                <w:highlight w:val="none"/>
              </w:rPr>
              <w:t>食堂综合管理情况（10</w:t>
            </w:r>
            <w:r>
              <w:rPr>
                <w:color w:val="auto"/>
                <w:spacing w:val="-7"/>
                <w:sz w:val="22"/>
                <w:szCs w:val="22"/>
                <w:highlight w:val="none"/>
              </w:rPr>
              <w:t>分）</w:t>
            </w:r>
          </w:p>
        </w:tc>
        <w:tc>
          <w:tcPr>
            <w:tcW w:w="816" w:type="dxa"/>
            <w:vAlign w:val="top"/>
          </w:tcPr>
          <w:p w14:paraId="250F0D17">
            <w:pPr>
              <w:spacing w:line="242" w:lineRule="auto"/>
              <w:rPr>
                <w:rFonts w:ascii="Arial"/>
                <w:color w:val="auto"/>
                <w:sz w:val="21"/>
                <w:highlight w:val="none"/>
              </w:rPr>
            </w:pPr>
          </w:p>
          <w:p w14:paraId="60EA407A">
            <w:pPr>
              <w:pStyle w:val="239"/>
              <w:spacing w:before="72" w:line="221" w:lineRule="auto"/>
              <w:ind w:left="103"/>
              <w:rPr>
                <w:color w:val="auto"/>
                <w:sz w:val="22"/>
                <w:szCs w:val="22"/>
                <w:highlight w:val="none"/>
              </w:rPr>
            </w:pPr>
            <w:r>
              <w:rPr>
                <w:color w:val="auto"/>
                <w:spacing w:val="-6"/>
                <w:sz w:val="22"/>
                <w:szCs w:val="22"/>
                <w:highlight w:val="none"/>
              </w:rPr>
              <w:t>10分□</w:t>
            </w:r>
          </w:p>
        </w:tc>
        <w:tc>
          <w:tcPr>
            <w:tcW w:w="1080" w:type="dxa"/>
            <w:vAlign w:val="top"/>
          </w:tcPr>
          <w:p w14:paraId="05DF8675">
            <w:pPr>
              <w:spacing w:line="242" w:lineRule="auto"/>
              <w:rPr>
                <w:rFonts w:ascii="Arial"/>
                <w:color w:val="auto"/>
                <w:sz w:val="21"/>
                <w:highlight w:val="none"/>
              </w:rPr>
            </w:pPr>
          </w:p>
          <w:p w14:paraId="557DCB0F">
            <w:pPr>
              <w:pStyle w:val="239"/>
              <w:spacing w:before="72" w:line="221" w:lineRule="auto"/>
              <w:ind w:left="270"/>
              <w:rPr>
                <w:color w:val="auto"/>
                <w:sz w:val="22"/>
                <w:szCs w:val="22"/>
                <w:highlight w:val="none"/>
              </w:rPr>
            </w:pPr>
            <w:r>
              <w:rPr>
                <w:color w:val="auto"/>
                <w:spacing w:val="-3"/>
                <w:sz w:val="22"/>
                <w:szCs w:val="22"/>
                <w:highlight w:val="none"/>
              </w:rPr>
              <w:t>8分□</w:t>
            </w:r>
          </w:p>
        </w:tc>
        <w:tc>
          <w:tcPr>
            <w:tcW w:w="1079" w:type="dxa"/>
            <w:vAlign w:val="top"/>
          </w:tcPr>
          <w:p w14:paraId="6264F109">
            <w:pPr>
              <w:spacing w:line="242" w:lineRule="auto"/>
              <w:rPr>
                <w:rFonts w:ascii="Arial"/>
                <w:color w:val="auto"/>
                <w:sz w:val="21"/>
                <w:highlight w:val="none"/>
              </w:rPr>
            </w:pPr>
          </w:p>
          <w:p w14:paraId="10871FBB">
            <w:pPr>
              <w:pStyle w:val="239"/>
              <w:spacing w:before="72" w:line="221" w:lineRule="auto"/>
              <w:ind w:left="271"/>
              <w:rPr>
                <w:color w:val="auto"/>
                <w:sz w:val="22"/>
                <w:szCs w:val="22"/>
                <w:highlight w:val="none"/>
              </w:rPr>
            </w:pPr>
            <w:r>
              <w:rPr>
                <w:color w:val="auto"/>
                <w:spacing w:val="-3"/>
                <w:sz w:val="22"/>
                <w:szCs w:val="22"/>
                <w:highlight w:val="none"/>
              </w:rPr>
              <w:t>6分□</w:t>
            </w:r>
          </w:p>
        </w:tc>
        <w:tc>
          <w:tcPr>
            <w:tcW w:w="1080" w:type="dxa"/>
            <w:vAlign w:val="top"/>
          </w:tcPr>
          <w:p w14:paraId="1CA21E27">
            <w:pPr>
              <w:spacing w:line="242" w:lineRule="auto"/>
              <w:rPr>
                <w:rFonts w:ascii="Arial"/>
                <w:color w:val="auto"/>
                <w:sz w:val="21"/>
                <w:highlight w:val="none"/>
              </w:rPr>
            </w:pPr>
          </w:p>
          <w:p w14:paraId="6D24F91E">
            <w:pPr>
              <w:pStyle w:val="239"/>
              <w:spacing w:before="72" w:line="221" w:lineRule="auto"/>
              <w:ind w:left="270"/>
              <w:rPr>
                <w:color w:val="auto"/>
                <w:sz w:val="22"/>
                <w:szCs w:val="22"/>
                <w:highlight w:val="none"/>
              </w:rPr>
            </w:pPr>
            <w:r>
              <w:rPr>
                <w:color w:val="auto"/>
                <w:spacing w:val="-2"/>
                <w:sz w:val="22"/>
                <w:szCs w:val="22"/>
                <w:highlight w:val="none"/>
              </w:rPr>
              <w:t>4分□</w:t>
            </w:r>
          </w:p>
        </w:tc>
        <w:tc>
          <w:tcPr>
            <w:tcW w:w="1392" w:type="dxa"/>
            <w:vAlign w:val="top"/>
          </w:tcPr>
          <w:p w14:paraId="5BA08E92">
            <w:pPr>
              <w:spacing w:line="242" w:lineRule="auto"/>
              <w:rPr>
                <w:rFonts w:ascii="Arial"/>
                <w:color w:val="auto"/>
                <w:sz w:val="21"/>
                <w:highlight w:val="none"/>
              </w:rPr>
            </w:pPr>
          </w:p>
          <w:p w14:paraId="522B2770">
            <w:pPr>
              <w:pStyle w:val="239"/>
              <w:spacing w:before="72" w:line="221" w:lineRule="auto"/>
              <w:ind w:left="427"/>
              <w:rPr>
                <w:color w:val="auto"/>
                <w:sz w:val="22"/>
                <w:szCs w:val="22"/>
                <w:highlight w:val="none"/>
              </w:rPr>
            </w:pPr>
            <w:r>
              <w:rPr>
                <w:color w:val="auto"/>
                <w:spacing w:val="-3"/>
                <w:sz w:val="22"/>
                <w:szCs w:val="22"/>
                <w:highlight w:val="none"/>
              </w:rPr>
              <w:t>0分□</w:t>
            </w:r>
          </w:p>
        </w:tc>
        <w:tc>
          <w:tcPr>
            <w:tcW w:w="1550" w:type="dxa"/>
            <w:vAlign w:val="top"/>
          </w:tcPr>
          <w:p w14:paraId="4D015F4B">
            <w:pPr>
              <w:rPr>
                <w:rFonts w:ascii="Arial"/>
                <w:color w:val="auto"/>
                <w:sz w:val="21"/>
                <w:highlight w:val="none"/>
              </w:rPr>
            </w:pPr>
          </w:p>
        </w:tc>
      </w:tr>
      <w:tr w14:paraId="5CB84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430" w:type="dxa"/>
            <w:gridSpan w:val="8"/>
            <w:vAlign w:val="top"/>
          </w:tcPr>
          <w:p w14:paraId="56D0905D">
            <w:pPr>
              <w:pStyle w:val="239"/>
              <w:spacing w:before="105" w:line="220" w:lineRule="auto"/>
              <w:ind w:left="33"/>
              <w:rPr>
                <w:color w:val="auto"/>
                <w:sz w:val="22"/>
                <w:szCs w:val="22"/>
                <w:highlight w:val="none"/>
              </w:rPr>
            </w:pPr>
            <w:r>
              <w:rPr>
                <w:color w:val="auto"/>
                <w:spacing w:val="-12"/>
                <w:sz w:val="22"/>
                <w:szCs w:val="22"/>
                <w:highlight w:val="none"/>
              </w:rPr>
              <w:t>总得分：</w:t>
            </w:r>
          </w:p>
        </w:tc>
      </w:tr>
      <w:tr w14:paraId="5BD9BA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677" w:hRule="atLeast"/>
        </w:trPr>
        <w:tc>
          <w:tcPr>
            <w:tcW w:w="1089" w:type="dxa"/>
            <w:vAlign w:val="top"/>
          </w:tcPr>
          <w:p w14:paraId="4F807BD1">
            <w:pPr>
              <w:spacing w:line="267" w:lineRule="auto"/>
              <w:rPr>
                <w:rFonts w:ascii="Arial"/>
                <w:color w:val="auto"/>
                <w:sz w:val="21"/>
                <w:highlight w:val="none"/>
              </w:rPr>
            </w:pPr>
          </w:p>
          <w:p w14:paraId="182B6095">
            <w:pPr>
              <w:spacing w:line="267" w:lineRule="auto"/>
              <w:rPr>
                <w:rFonts w:ascii="Arial"/>
                <w:color w:val="auto"/>
                <w:sz w:val="21"/>
                <w:highlight w:val="none"/>
              </w:rPr>
            </w:pPr>
          </w:p>
          <w:p w14:paraId="119F705B">
            <w:pPr>
              <w:pStyle w:val="239"/>
              <w:spacing w:before="72" w:line="262" w:lineRule="auto"/>
              <w:ind w:left="26" w:right="8"/>
              <w:rPr>
                <w:color w:val="auto"/>
                <w:sz w:val="22"/>
                <w:szCs w:val="22"/>
                <w:highlight w:val="none"/>
              </w:rPr>
            </w:pPr>
            <w:r>
              <w:rPr>
                <w:color w:val="auto"/>
                <w:spacing w:val="-2"/>
                <w:sz w:val="22"/>
                <w:szCs w:val="22"/>
                <w:highlight w:val="none"/>
              </w:rPr>
              <w:t>食堂满意度总体评</w:t>
            </w:r>
            <w:r>
              <w:rPr>
                <w:color w:val="auto"/>
                <w:spacing w:val="-11"/>
                <w:sz w:val="22"/>
                <w:szCs w:val="22"/>
                <w:highlight w:val="none"/>
              </w:rPr>
              <w:t>价，请在框</w:t>
            </w:r>
            <w:r>
              <w:rPr>
                <w:color w:val="auto"/>
                <w:spacing w:val="-2"/>
                <w:sz w:val="22"/>
                <w:szCs w:val="22"/>
                <w:highlight w:val="none"/>
              </w:rPr>
              <w:t>内打</w:t>
            </w:r>
          </w:p>
          <w:p w14:paraId="406B38A8">
            <w:pPr>
              <w:pStyle w:val="239"/>
              <w:spacing w:before="1" w:line="238" w:lineRule="auto"/>
              <w:ind w:left="12"/>
              <w:rPr>
                <w:color w:val="auto"/>
                <w:sz w:val="22"/>
                <w:szCs w:val="22"/>
                <w:highlight w:val="none"/>
              </w:rPr>
            </w:pPr>
            <w:r>
              <w:rPr>
                <w:color w:val="auto"/>
                <w:spacing w:val="8"/>
                <w:sz w:val="22"/>
                <w:szCs w:val="22"/>
                <w:highlight w:val="none"/>
              </w:rPr>
              <w:t>“</w:t>
            </w:r>
            <w:r>
              <w:rPr>
                <w:color w:val="auto"/>
                <w:spacing w:val="-46"/>
                <w:sz w:val="22"/>
                <w:szCs w:val="22"/>
                <w:highlight w:val="none"/>
              </w:rPr>
              <w:t xml:space="preserve"> </w:t>
            </w:r>
            <w:r>
              <w:rPr>
                <w:color w:val="auto"/>
                <w:spacing w:val="8"/>
                <w:sz w:val="22"/>
                <w:szCs w:val="22"/>
                <w:highlight w:val="none"/>
              </w:rPr>
              <w:t>√</w:t>
            </w:r>
            <w:r>
              <w:rPr>
                <w:color w:val="auto"/>
                <w:spacing w:val="-81"/>
                <w:sz w:val="22"/>
                <w:szCs w:val="22"/>
                <w:highlight w:val="none"/>
              </w:rPr>
              <w:t xml:space="preserve"> </w:t>
            </w:r>
            <w:r>
              <w:rPr>
                <w:color w:val="auto"/>
                <w:spacing w:val="8"/>
                <w:sz w:val="22"/>
                <w:szCs w:val="22"/>
                <w:highlight w:val="none"/>
              </w:rPr>
              <w:t>”</w:t>
            </w:r>
          </w:p>
        </w:tc>
        <w:tc>
          <w:tcPr>
            <w:tcW w:w="1344" w:type="dxa"/>
            <w:vAlign w:val="top"/>
          </w:tcPr>
          <w:p w14:paraId="242CE0EF">
            <w:pPr>
              <w:spacing w:line="288" w:lineRule="auto"/>
              <w:rPr>
                <w:rFonts w:ascii="Arial"/>
                <w:color w:val="auto"/>
                <w:sz w:val="21"/>
                <w:highlight w:val="none"/>
              </w:rPr>
            </w:pPr>
          </w:p>
          <w:p w14:paraId="49368E49">
            <w:pPr>
              <w:spacing w:line="289" w:lineRule="auto"/>
              <w:rPr>
                <w:rFonts w:ascii="Arial"/>
                <w:color w:val="auto"/>
                <w:sz w:val="21"/>
                <w:highlight w:val="none"/>
              </w:rPr>
            </w:pPr>
          </w:p>
          <w:p w14:paraId="1B7120AF">
            <w:pPr>
              <w:spacing w:line="289" w:lineRule="auto"/>
              <w:rPr>
                <w:rFonts w:ascii="Arial"/>
                <w:color w:val="auto"/>
                <w:sz w:val="21"/>
                <w:highlight w:val="none"/>
              </w:rPr>
            </w:pPr>
          </w:p>
          <w:p w14:paraId="16A37C22">
            <w:pPr>
              <w:spacing w:line="289" w:lineRule="auto"/>
              <w:rPr>
                <w:rFonts w:ascii="Arial"/>
                <w:color w:val="auto"/>
                <w:sz w:val="21"/>
                <w:highlight w:val="none"/>
              </w:rPr>
            </w:pPr>
          </w:p>
          <w:p w14:paraId="56A7839E">
            <w:pPr>
              <w:pStyle w:val="239"/>
              <w:spacing w:before="72" w:line="220" w:lineRule="auto"/>
              <w:ind w:left="350"/>
              <w:rPr>
                <w:color w:val="auto"/>
                <w:sz w:val="22"/>
                <w:szCs w:val="22"/>
                <w:highlight w:val="none"/>
              </w:rPr>
            </w:pPr>
            <w:r>
              <w:rPr>
                <w:color w:val="auto"/>
                <w:spacing w:val="-4"/>
                <w:sz w:val="22"/>
                <w:szCs w:val="22"/>
                <w:highlight w:val="none"/>
              </w:rPr>
              <w:t>满</w:t>
            </w:r>
            <w:r>
              <w:rPr>
                <w:color w:val="auto"/>
                <w:spacing w:val="7"/>
                <w:sz w:val="22"/>
                <w:szCs w:val="22"/>
                <w:highlight w:val="none"/>
              </w:rPr>
              <w:t xml:space="preserve">  </w:t>
            </w:r>
            <w:r>
              <w:rPr>
                <w:color w:val="auto"/>
                <w:spacing w:val="-4"/>
                <w:sz w:val="22"/>
                <w:szCs w:val="22"/>
                <w:highlight w:val="none"/>
              </w:rPr>
              <w:t>意</w:t>
            </w:r>
          </w:p>
        </w:tc>
        <w:tc>
          <w:tcPr>
            <w:tcW w:w="1896" w:type="dxa"/>
            <w:gridSpan w:val="2"/>
            <w:vAlign w:val="top"/>
          </w:tcPr>
          <w:p w14:paraId="1FB838C6">
            <w:pPr>
              <w:rPr>
                <w:rFonts w:ascii="Arial"/>
                <w:color w:val="auto"/>
                <w:sz w:val="21"/>
                <w:highlight w:val="none"/>
              </w:rPr>
            </w:pPr>
          </w:p>
        </w:tc>
        <w:tc>
          <w:tcPr>
            <w:tcW w:w="2159" w:type="dxa"/>
            <w:gridSpan w:val="2"/>
            <w:vAlign w:val="top"/>
          </w:tcPr>
          <w:p w14:paraId="7F923825">
            <w:pPr>
              <w:spacing w:line="288" w:lineRule="auto"/>
              <w:rPr>
                <w:rFonts w:ascii="Arial"/>
                <w:color w:val="auto"/>
                <w:sz w:val="21"/>
                <w:highlight w:val="none"/>
              </w:rPr>
            </w:pPr>
          </w:p>
          <w:p w14:paraId="4B4FFB20">
            <w:pPr>
              <w:spacing w:line="289" w:lineRule="auto"/>
              <w:rPr>
                <w:rFonts w:ascii="Arial"/>
                <w:color w:val="auto"/>
                <w:sz w:val="21"/>
                <w:highlight w:val="none"/>
              </w:rPr>
            </w:pPr>
          </w:p>
          <w:p w14:paraId="0298D57B">
            <w:pPr>
              <w:spacing w:line="289" w:lineRule="auto"/>
              <w:rPr>
                <w:rFonts w:ascii="Arial"/>
                <w:color w:val="auto"/>
                <w:sz w:val="21"/>
                <w:highlight w:val="none"/>
              </w:rPr>
            </w:pPr>
          </w:p>
          <w:p w14:paraId="133AA86A">
            <w:pPr>
              <w:spacing w:line="289" w:lineRule="auto"/>
              <w:rPr>
                <w:rFonts w:ascii="Arial"/>
                <w:color w:val="auto"/>
                <w:sz w:val="21"/>
                <w:highlight w:val="none"/>
              </w:rPr>
            </w:pPr>
          </w:p>
          <w:p w14:paraId="0308B7A0">
            <w:pPr>
              <w:pStyle w:val="239"/>
              <w:spacing w:before="72" w:line="220" w:lineRule="auto"/>
              <w:ind w:left="758"/>
              <w:rPr>
                <w:color w:val="auto"/>
                <w:sz w:val="22"/>
                <w:szCs w:val="22"/>
                <w:highlight w:val="none"/>
              </w:rPr>
            </w:pPr>
            <w:r>
              <w:rPr>
                <w:color w:val="auto"/>
                <w:spacing w:val="-3"/>
                <w:sz w:val="22"/>
                <w:szCs w:val="22"/>
                <w:highlight w:val="none"/>
              </w:rPr>
              <w:t>不满意</w:t>
            </w:r>
          </w:p>
        </w:tc>
        <w:tc>
          <w:tcPr>
            <w:tcW w:w="2942" w:type="dxa"/>
            <w:gridSpan w:val="2"/>
            <w:vAlign w:val="top"/>
          </w:tcPr>
          <w:p w14:paraId="03119CE8">
            <w:pPr>
              <w:rPr>
                <w:rFonts w:ascii="Arial"/>
                <w:color w:val="auto"/>
                <w:sz w:val="21"/>
                <w:highlight w:val="none"/>
              </w:rPr>
            </w:pPr>
          </w:p>
        </w:tc>
      </w:tr>
      <w:tr w14:paraId="677ED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9430" w:type="dxa"/>
            <w:gridSpan w:val="8"/>
            <w:vAlign w:val="top"/>
          </w:tcPr>
          <w:p w14:paraId="718E15A3">
            <w:pPr>
              <w:pStyle w:val="239"/>
              <w:spacing w:before="50" w:line="220" w:lineRule="auto"/>
              <w:ind w:left="40"/>
              <w:rPr>
                <w:color w:val="auto"/>
                <w:sz w:val="22"/>
                <w:szCs w:val="22"/>
                <w:highlight w:val="none"/>
              </w:rPr>
            </w:pPr>
            <w:r>
              <w:rPr>
                <w:color w:val="auto"/>
                <w:spacing w:val="-3"/>
                <w:sz w:val="22"/>
                <w:szCs w:val="22"/>
                <w:highlight w:val="none"/>
              </w:rPr>
              <w:t>除此之外，您还有什么意见和建议：</w:t>
            </w:r>
          </w:p>
        </w:tc>
      </w:tr>
    </w:tbl>
    <w:p w14:paraId="04E6397B">
      <w:pPr>
        <w:spacing w:before="31"/>
        <w:rPr>
          <w:color w:val="auto"/>
          <w:highlight w:val="none"/>
        </w:rPr>
      </w:pPr>
    </w:p>
    <w:p w14:paraId="033CEA34">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42387130">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4739F747">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6780BC4E">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05B0D4FD">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574EA891">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4ED47A4D">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194B1015">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59830EB5">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723AF69D">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593B4A05">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5E3627D1">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6A152686">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6" w:lineRule="exact"/>
        <w:ind w:firstLine="0"/>
        <w:jc w:val="left"/>
        <w:textAlignment w:val="auto"/>
        <w:outlineLvl w:val="9"/>
        <w:rPr>
          <w:rFonts w:hint="eastAsia" w:cs="宋体"/>
          <w:color w:val="auto"/>
          <w:sz w:val="24"/>
          <w:szCs w:val="24"/>
          <w:highlight w:val="none"/>
          <w:lang w:val="en-US" w:eastAsia="zh-CN"/>
        </w:rPr>
      </w:pPr>
    </w:p>
    <w:p w14:paraId="018ACE91">
      <w:pPr>
        <w:pStyle w:val="2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kinsoku/>
        <w:wordWrap/>
        <w:overflowPunct/>
        <w:topLinePunct w:val="0"/>
        <w:autoSpaceDE/>
        <w:autoSpaceDN/>
        <w:bidi w:val="0"/>
        <w:adjustRightInd/>
        <w:snapToGrid/>
        <w:spacing w:before="0" w:beforeAutospacing="0" w:after="0" w:afterAutospacing="0" w:line="430" w:lineRule="exact"/>
        <w:ind w:firstLine="0"/>
        <w:jc w:val="left"/>
        <w:textAlignment w:val="auto"/>
        <w:outlineLvl w:val="9"/>
        <w:rPr>
          <w:rFonts w:hint="default" w:cs="宋体"/>
          <w:color w:val="auto"/>
          <w:sz w:val="24"/>
          <w:szCs w:val="24"/>
          <w:highlight w:val="none"/>
          <w:lang w:val="en-US" w:eastAsia="zh-CN"/>
        </w:rPr>
      </w:pPr>
    </w:p>
    <w:bookmarkEnd w:id="162"/>
    <w:bookmarkEnd w:id="163"/>
    <w:bookmarkEnd w:id="164"/>
    <w:bookmarkEnd w:id="165"/>
    <w:p w14:paraId="07959F1A">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44C164C4">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096915A1">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5C1C508E">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7084BE9B">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75C29684">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1A122361">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5844EE2F">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29FFFB4B">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59C20372">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6AFE6BE3">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314E9B49">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499A60FE">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5D848382">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both"/>
        <w:outlineLvl w:val="0"/>
        <w:rPr>
          <w:rFonts w:hint="eastAsia" w:ascii="楷体_GB2312" w:hAnsi="楷体_GB2312" w:eastAsia="宋体" w:cs="Times New Roman"/>
          <w:b/>
          <w:color w:val="auto"/>
          <w:sz w:val="44"/>
          <w:szCs w:val="20"/>
          <w:highlight w:val="none"/>
          <w:lang w:eastAsia="zh-CN"/>
        </w:rPr>
      </w:pPr>
    </w:p>
    <w:p w14:paraId="73D87FFF">
      <w:pPr>
        <w:pStyle w:val="2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240" w:lineRule="auto"/>
        <w:jc w:val="center"/>
        <w:outlineLvl w:val="0"/>
        <w:rPr>
          <w:rFonts w:hint="eastAsia" w:ascii="楷体_GB2312" w:hAnsi="楷体_GB2312" w:eastAsia="宋体" w:cs="Times New Roman"/>
          <w:b/>
          <w:color w:val="auto"/>
          <w:sz w:val="44"/>
          <w:szCs w:val="20"/>
          <w:highlight w:val="none"/>
          <w:lang w:eastAsia="zh-CN"/>
        </w:rPr>
      </w:pPr>
      <w:r>
        <w:rPr>
          <w:rFonts w:hint="eastAsia" w:ascii="楷体_GB2312" w:hAnsi="楷体_GB2312" w:cs="Times New Roman"/>
          <w:b/>
          <w:color w:val="auto"/>
          <w:sz w:val="44"/>
          <w:szCs w:val="20"/>
          <w:highlight w:val="none"/>
          <w:lang w:val="en-US" w:eastAsia="zh-CN"/>
        </w:rPr>
        <w:t xml:space="preserve">第四章   </w:t>
      </w:r>
      <w:r>
        <w:rPr>
          <w:rFonts w:hint="eastAsia" w:ascii="楷体_GB2312" w:hAnsi="楷体_GB2312" w:eastAsia="宋体" w:cs="Times New Roman"/>
          <w:b/>
          <w:color w:val="auto"/>
          <w:sz w:val="44"/>
          <w:szCs w:val="20"/>
          <w:highlight w:val="none"/>
          <w:lang w:eastAsia="zh-CN"/>
        </w:rPr>
        <w:t>采购需求</w:t>
      </w:r>
    </w:p>
    <w:p w14:paraId="34731940">
      <w:pPr>
        <w:keepNext w:val="0"/>
        <w:keepLines w:val="0"/>
        <w:pageBreakBefore w:val="0"/>
        <w:widowControl w:val="0"/>
        <w:kinsoku/>
        <w:wordWrap/>
        <w:overflowPunct/>
        <w:topLinePunct w:val="0"/>
        <w:autoSpaceDE/>
        <w:autoSpaceDN/>
        <w:bidi w:val="0"/>
        <w:adjustRightInd/>
        <w:snapToGrid/>
        <w:spacing w:before="256" w:line="360" w:lineRule="auto"/>
        <w:ind w:left="1426" w:right="1138" w:firstLine="482"/>
        <w:textAlignment w:val="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说明：本项目采购方式为公开招标，项目属性为服务，采购标的对应</w:t>
      </w:r>
      <w:r>
        <w:rPr>
          <w:rFonts w:ascii="宋体" w:hAnsi="宋体" w:eastAsia="宋体" w:cs="宋体"/>
          <w:b/>
          <w:bCs/>
          <w:color w:val="auto"/>
          <w:spacing w:val="-4"/>
          <w:sz w:val="24"/>
          <w:szCs w:val="24"/>
          <w:highlight w:val="none"/>
        </w:rPr>
        <w:t>的中小企业划分</w:t>
      </w:r>
      <w:r>
        <w:rPr>
          <w:rFonts w:ascii="宋体" w:hAnsi="宋体" w:eastAsia="宋体" w:cs="宋体"/>
          <w:b/>
          <w:bCs/>
          <w:color w:val="auto"/>
          <w:spacing w:val="-2"/>
          <w:sz w:val="24"/>
          <w:szCs w:val="24"/>
          <w:highlight w:val="none"/>
        </w:rPr>
        <w:t>标准所属行业为</w:t>
      </w:r>
      <w:r>
        <w:rPr>
          <w:rFonts w:ascii="宋体" w:hAnsi="宋体" w:eastAsia="宋体" w:cs="宋体"/>
          <w:color w:val="auto"/>
          <w:spacing w:val="-2"/>
          <w:sz w:val="24"/>
          <w:szCs w:val="24"/>
          <w:highlight w:val="none"/>
          <w:u w:val="single" w:color="auto"/>
        </w:rPr>
        <w:t xml:space="preserve">  </w:t>
      </w:r>
      <w:r>
        <w:rPr>
          <w:rFonts w:ascii="宋体" w:hAnsi="宋体" w:eastAsia="宋体" w:cs="宋体"/>
          <w:b/>
          <w:bCs/>
          <w:color w:val="auto"/>
          <w:spacing w:val="-2"/>
          <w:sz w:val="24"/>
          <w:szCs w:val="24"/>
          <w:highlight w:val="none"/>
          <w:u w:val="single" w:color="auto"/>
        </w:rPr>
        <w:t>餐饮业</w:t>
      </w:r>
      <w:r>
        <w:rPr>
          <w:rFonts w:ascii="宋体" w:hAnsi="宋体" w:eastAsia="宋体" w:cs="宋体"/>
          <w:color w:val="auto"/>
          <w:spacing w:val="-2"/>
          <w:sz w:val="24"/>
          <w:szCs w:val="24"/>
          <w:highlight w:val="none"/>
          <w:u w:val="single" w:color="auto"/>
        </w:rPr>
        <w:t xml:space="preserve">  </w:t>
      </w:r>
      <w:r>
        <w:rPr>
          <w:rFonts w:ascii="宋体" w:hAnsi="宋体" w:eastAsia="宋体" w:cs="宋体"/>
          <w:b/>
          <w:bCs/>
          <w:color w:val="auto"/>
          <w:spacing w:val="-2"/>
          <w:sz w:val="24"/>
          <w:szCs w:val="24"/>
          <w:highlight w:val="none"/>
        </w:rPr>
        <w:t>。</w:t>
      </w:r>
    </w:p>
    <w:p w14:paraId="4905F9DD">
      <w:pPr>
        <w:keepNext w:val="0"/>
        <w:keepLines w:val="0"/>
        <w:pageBreakBefore w:val="0"/>
        <w:widowControl w:val="0"/>
        <w:kinsoku/>
        <w:wordWrap/>
        <w:overflowPunct/>
        <w:topLinePunct w:val="0"/>
        <w:autoSpaceDE/>
        <w:autoSpaceDN/>
        <w:bidi w:val="0"/>
        <w:adjustRightInd/>
        <w:snapToGrid/>
        <w:spacing w:before="1" w:line="360" w:lineRule="auto"/>
        <w:ind w:left="1448" w:right="1133" w:firstLine="458"/>
        <w:textAlignment w:val="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本章中标注★的款项为实质性要求和条件，投标人必须对实质性要求和条件逐条作出</w:t>
      </w:r>
      <w:r>
        <w:rPr>
          <w:rFonts w:ascii="宋体" w:hAnsi="宋体" w:eastAsia="宋体" w:cs="宋体"/>
          <w:b/>
          <w:bCs/>
          <w:color w:val="auto"/>
          <w:spacing w:val="-4"/>
          <w:sz w:val="24"/>
          <w:szCs w:val="24"/>
          <w:highlight w:val="none"/>
        </w:rPr>
        <w:t>明确响应，否则按无效响应处理。</w:t>
      </w:r>
    </w:p>
    <w:p w14:paraId="63F771A1">
      <w:pPr>
        <w:keepNext w:val="0"/>
        <w:keepLines w:val="0"/>
        <w:pageBreakBefore w:val="0"/>
        <w:widowControl w:val="0"/>
        <w:kinsoku/>
        <w:wordWrap/>
        <w:overflowPunct/>
        <w:topLinePunct w:val="0"/>
        <w:autoSpaceDE/>
        <w:autoSpaceDN/>
        <w:bidi w:val="0"/>
        <w:adjustRightInd/>
        <w:snapToGrid/>
        <w:spacing w:line="360" w:lineRule="auto"/>
        <w:ind w:left="1910"/>
        <w:textAlignment w:val="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一、项目背景及概况</w:t>
      </w:r>
      <w:r>
        <w:rPr>
          <w:rFonts w:ascii="宋体" w:hAnsi="宋体" w:eastAsia="宋体" w:cs="宋体"/>
          <w:color w:val="auto"/>
          <w:spacing w:val="-3"/>
          <w:sz w:val="24"/>
          <w:szCs w:val="24"/>
          <w:highlight w:val="none"/>
        </w:rPr>
        <w:t>：</w:t>
      </w:r>
    </w:p>
    <w:p w14:paraId="1D50273E">
      <w:pPr>
        <w:keepNext w:val="0"/>
        <w:keepLines w:val="0"/>
        <w:pageBreakBefore w:val="0"/>
        <w:widowControl w:val="0"/>
        <w:kinsoku/>
        <w:wordWrap/>
        <w:overflowPunct/>
        <w:topLinePunct w:val="0"/>
        <w:autoSpaceDE/>
        <w:autoSpaceDN/>
        <w:bidi w:val="0"/>
        <w:adjustRightInd/>
        <w:snapToGrid/>
        <w:spacing w:before="180" w:line="360" w:lineRule="auto"/>
        <w:ind w:left="1427" w:right="1132" w:firstLine="421"/>
        <w:jc w:val="both"/>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职工食堂管理与服务，</w:t>
      </w:r>
      <w:r>
        <w:rPr>
          <w:rFonts w:hint="eastAsia" w:ascii="宋体" w:hAnsi="宋体" w:cs="宋体"/>
          <w:color w:val="auto"/>
          <w:spacing w:val="1"/>
          <w:sz w:val="24"/>
          <w:szCs w:val="24"/>
          <w:highlight w:val="none"/>
          <w:lang w:val="en-US" w:eastAsia="zh-CN"/>
        </w:rPr>
        <w:t>职工用餐人数约194人，</w:t>
      </w:r>
      <w:r>
        <w:rPr>
          <w:rFonts w:ascii="宋体" w:hAnsi="宋体" w:eastAsia="宋体" w:cs="宋体"/>
          <w:color w:val="auto"/>
          <w:spacing w:val="1"/>
          <w:sz w:val="24"/>
          <w:szCs w:val="24"/>
          <w:highlight w:val="none"/>
        </w:rPr>
        <w:t>工作日每日</w:t>
      </w:r>
      <w:r>
        <w:rPr>
          <w:rFonts w:hint="eastAsia" w:ascii="宋体" w:hAnsi="宋体" w:cs="宋体"/>
          <w:color w:val="auto"/>
          <w:spacing w:val="1"/>
          <w:sz w:val="24"/>
          <w:szCs w:val="24"/>
          <w:highlight w:val="none"/>
          <w:lang w:val="en-US" w:eastAsia="zh-CN"/>
        </w:rPr>
        <w:t>两</w:t>
      </w:r>
      <w:r>
        <w:rPr>
          <w:rFonts w:ascii="宋体" w:hAnsi="宋体" w:eastAsia="宋体" w:cs="宋体"/>
          <w:color w:val="auto"/>
          <w:spacing w:val="1"/>
          <w:sz w:val="24"/>
          <w:szCs w:val="24"/>
          <w:highlight w:val="none"/>
        </w:rPr>
        <w:t>餐及其他临时性餐饮服务、</w:t>
      </w:r>
      <w:r>
        <w:rPr>
          <w:rFonts w:ascii="宋体" w:hAnsi="宋体" w:eastAsia="宋体" w:cs="宋体"/>
          <w:color w:val="auto"/>
          <w:sz w:val="24"/>
          <w:szCs w:val="24"/>
          <w:highlight w:val="none"/>
        </w:rPr>
        <w:t>外卖服务、就餐</w:t>
      </w:r>
      <w:r>
        <w:rPr>
          <w:rFonts w:ascii="宋体" w:hAnsi="宋体" w:eastAsia="宋体" w:cs="宋体"/>
          <w:color w:val="auto"/>
          <w:spacing w:val="-1"/>
          <w:sz w:val="24"/>
          <w:szCs w:val="24"/>
          <w:highlight w:val="none"/>
        </w:rPr>
        <w:t>区和加工区的保洁、就餐服务、餐具日常</w:t>
      </w:r>
      <w:r>
        <w:rPr>
          <w:rFonts w:ascii="宋体" w:hAnsi="宋体" w:eastAsia="宋体" w:cs="宋体"/>
          <w:color w:val="auto"/>
          <w:spacing w:val="-5"/>
          <w:sz w:val="24"/>
          <w:szCs w:val="24"/>
          <w:highlight w:val="none"/>
        </w:rPr>
        <w:t>的清洗消毒等工作。</w:t>
      </w:r>
      <w:r>
        <w:rPr>
          <w:rFonts w:hint="eastAsia" w:ascii="宋体" w:hAnsi="宋体" w:cs="宋体"/>
          <w:color w:val="auto"/>
          <w:spacing w:val="-5"/>
          <w:sz w:val="24"/>
          <w:szCs w:val="24"/>
          <w:highlight w:val="none"/>
          <w:lang w:val="en-US" w:eastAsia="zh-CN"/>
        </w:rPr>
        <w:t>夜间值班人员用餐及两间值</w:t>
      </w:r>
      <w:r>
        <w:rPr>
          <w:rFonts w:ascii="宋体" w:hAnsi="宋体" w:eastAsia="宋体" w:cs="宋体"/>
          <w:color w:val="auto"/>
          <w:spacing w:val="-5"/>
          <w:sz w:val="24"/>
          <w:szCs w:val="24"/>
          <w:highlight w:val="none"/>
        </w:rPr>
        <w:t>班室卫生床单被罩由</w:t>
      </w:r>
      <w:r>
        <w:rPr>
          <w:rFonts w:hint="eastAsia" w:ascii="宋体" w:hAnsi="宋体" w:cs="宋体"/>
          <w:color w:val="auto"/>
          <w:spacing w:val="-5"/>
          <w:sz w:val="24"/>
          <w:szCs w:val="24"/>
          <w:highlight w:val="none"/>
          <w:lang w:val="en-US" w:eastAsia="zh-CN"/>
        </w:rPr>
        <w:t>投标人免费</w:t>
      </w:r>
      <w:r>
        <w:rPr>
          <w:rFonts w:ascii="宋体" w:hAnsi="宋体" w:eastAsia="宋体" w:cs="宋体"/>
          <w:color w:val="auto"/>
          <w:spacing w:val="-5"/>
          <w:sz w:val="24"/>
          <w:szCs w:val="24"/>
          <w:highlight w:val="none"/>
        </w:rPr>
        <w:t>提供，并</w:t>
      </w:r>
      <w:r>
        <w:rPr>
          <w:rFonts w:ascii="宋体" w:hAnsi="宋体" w:eastAsia="宋体" w:cs="宋体"/>
          <w:color w:val="auto"/>
          <w:spacing w:val="-6"/>
          <w:sz w:val="24"/>
          <w:szCs w:val="24"/>
          <w:highlight w:val="none"/>
        </w:rPr>
        <w:t>由</w:t>
      </w:r>
      <w:r>
        <w:rPr>
          <w:rFonts w:hint="eastAsia" w:ascii="宋体" w:hAnsi="宋体" w:cs="宋体"/>
          <w:color w:val="auto"/>
          <w:spacing w:val="-5"/>
          <w:sz w:val="24"/>
          <w:szCs w:val="24"/>
          <w:highlight w:val="none"/>
          <w:lang w:val="en-US" w:eastAsia="zh-CN"/>
        </w:rPr>
        <w:t>投标人</w:t>
      </w:r>
      <w:r>
        <w:rPr>
          <w:rFonts w:ascii="宋体" w:hAnsi="宋体" w:eastAsia="宋体" w:cs="宋体"/>
          <w:color w:val="auto"/>
          <w:spacing w:val="-6"/>
          <w:sz w:val="24"/>
          <w:szCs w:val="24"/>
          <w:highlight w:val="none"/>
        </w:rPr>
        <w:t>负责值班室的打</w:t>
      </w:r>
      <w:r>
        <w:rPr>
          <w:rFonts w:ascii="宋体" w:hAnsi="宋体" w:eastAsia="宋体" w:cs="宋体"/>
          <w:color w:val="auto"/>
          <w:spacing w:val="-4"/>
          <w:sz w:val="24"/>
          <w:szCs w:val="24"/>
          <w:highlight w:val="none"/>
        </w:rPr>
        <w:t>扫及床单被罩的清洗与更换。</w:t>
      </w:r>
    </w:p>
    <w:p w14:paraId="4F04D064">
      <w:pPr>
        <w:keepNext w:val="0"/>
        <w:keepLines w:val="0"/>
        <w:pageBreakBefore w:val="0"/>
        <w:widowControl w:val="0"/>
        <w:kinsoku/>
        <w:wordWrap/>
        <w:overflowPunct/>
        <w:topLinePunct w:val="0"/>
        <w:autoSpaceDE/>
        <w:autoSpaceDN/>
        <w:bidi w:val="0"/>
        <w:adjustRightInd/>
        <w:snapToGrid/>
        <w:spacing w:before="3" w:line="360" w:lineRule="auto"/>
        <w:ind w:left="1424" w:right="1129" w:firstLine="423"/>
        <w:jc w:val="both"/>
        <w:textAlignment w:val="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服务期限：采购服务周期为</w:t>
      </w:r>
      <w:r>
        <w:rPr>
          <w:rFonts w:hint="eastAsia" w:ascii="宋体" w:hAnsi="宋体" w:cs="宋体"/>
          <w:color w:val="auto"/>
          <w:spacing w:val="-1"/>
          <w:sz w:val="24"/>
          <w:szCs w:val="24"/>
          <w:highlight w:val="none"/>
          <w:lang w:val="en-US" w:eastAsia="zh-CN"/>
        </w:rPr>
        <w:t>二</w:t>
      </w:r>
      <w:r>
        <w:rPr>
          <w:rFonts w:ascii="宋体" w:hAnsi="宋体" w:eastAsia="宋体" w:cs="宋体"/>
          <w:color w:val="auto"/>
          <w:spacing w:val="-1"/>
          <w:sz w:val="24"/>
          <w:szCs w:val="24"/>
          <w:highlight w:val="none"/>
        </w:rPr>
        <w:t>年，合同一年一签，</w:t>
      </w:r>
      <w:r>
        <w:rPr>
          <w:rFonts w:ascii="宋体" w:hAnsi="宋体" w:eastAsia="宋体" w:cs="宋体"/>
          <w:color w:val="auto"/>
          <w:spacing w:val="-2"/>
          <w:sz w:val="24"/>
          <w:szCs w:val="24"/>
          <w:highlight w:val="none"/>
        </w:rPr>
        <w:t>服务周期内，中标人须与采购人签</w:t>
      </w:r>
      <w:r>
        <w:rPr>
          <w:rFonts w:ascii="宋体" w:hAnsi="宋体" w:eastAsia="宋体" w:cs="宋体"/>
          <w:color w:val="auto"/>
          <w:sz w:val="24"/>
          <w:szCs w:val="24"/>
          <w:highlight w:val="none"/>
        </w:rPr>
        <w:t>订第一年度合同，合同履行过程中，采购人将根据自身</w:t>
      </w:r>
      <w:r>
        <w:rPr>
          <w:rFonts w:ascii="宋体" w:hAnsi="宋体" w:eastAsia="宋体" w:cs="宋体"/>
          <w:color w:val="auto"/>
          <w:spacing w:val="-1"/>
          <w:sz w:val="24"/>
          <w:szCs w:val="24"/>
          <w:highlight w:val="none"/>
        </w:rPr>
        <w:t>的相关制度对中标人的服务开展年</w:t>
      </w:r>
      <w:r>
        <w:rPr>
          <w:rFonts w:ascii="宋体" w:hAnsi="宋体" w:eastAsia="宋体" w:cs="宋体"/>
          <w:color w:val="auto"/>
          <w:sz w:val="24"/>
          <w:szCs w:val="24"/>
          <w:highlight w:val="none"/>
        </w:rPr>
        <w:t>度审核，根据年度审核的结果，采购人将在年度合同到期前通知</w:t>
      </w:r>
      <w:r>
        <w:rPr>
          <w:rFonts w:ascii="宋体" w:hAnsi="宋体" w:eastAsia="宋体" w:cs="宋体"/>
          <w:color w:val="auto"/>
          <w:spacing w:val="-1"/>
          <w:sz w:val="24"/>
          <w:szCs w:val="24"/>
          <w:highlight w:val="none"/>
        </w:rPr>
        <w:t>中标人是否由其继续提供</w:t>
      </w:r>
      <w:r>
        <w:rPr>
          <w:rFonts w:ascii="宋体" w:hAnsi="宋体" w:eastAsia="宋体" w:cs="宋体"/>
          <w:color w:val="auto"/>
          <w:sz w:val="24"/>
          <w:szCs w:val="24"/>
          <w:highlight w:val="none"/>
        </w:rPr>
        <w:t>下一</w:t>
      </w:r>
      <w:r>
        <w:rPr>
          <w:rFonts w:ascii="宋体" w:hAnsi="宋体" w:eastAsia="宋体" w:cs="宋体"/>
          <w:color w:val="auto"/>
          <w:spacing w:val="-1"/>
          <w:sz w:val="24"/>
          <w:szCs w:val="24"/>
          <w:highlight w:val="none"/>
        </w:rPr>
        <w:t>年度的服务，中标人对于采购人的决定无条件接受，如由中标人继续提供服务，采购人将与中标人按照中标单价以及约定提供的服务内容继续签订下一年度合同。</w:t>
      </w:r>
    </w:p>
    <w:p w14:paraId="0EE9C5B2">
      <w:pPr>
        <w:keepNext w:val="0"/>
        <w:keepLines w:val="0"/>
        <w:pageBreakBefore w:val="0"/>
        <w:widowControl w:val="0"/>
        <w:kinsoku/>
        <w:wordWrap/>
        <w:overflowPunct/>
        <w:topLinePunct w:val="0"/>
        <w:autoSpaceDE/>
        <w:autoSpaceDN/>
        <w:bidi w:val="0"/>
        <w:adjustRightInd/>
        <w:snapToGrid/>
        <w:spacing w:before="181" w:line="360" w:lineRule="auto"/>
        <w:ind w:left="1910" w:right="985" w:rightChars="469"/>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w:t>
      </w:r>
      <w:r>
        <w:rPr>
          <w:rFonts w:ascii="宋体" w:hAnsi="宋体" w:eastAsia="宋体" w:cs="宋体"/>
          <w:b/>
          <w:bCs/>
          <w:color w:val="auto"/>
          <w:spacing w:val="-3"/>
          <w:sz w:val="24"/>
          <w:szCs w:val="24"/>
          <w:highlight w:val="none"/>
        </w:rPr>
        <w:t>项目需求</w:t>
      </w:r>
      <w:r>
        <w:rPr>
          <w:rFonts w:ascii="宋体" w:hAnsi="宋体" w:eastAsia="宋体" w:cs="宋体"/>
          <w:color w:val="auto"/>
          <w:spacing w:val="-3"/>
          <w:sz w:val="24"/>
          <w:szCs w:val="24"/>
          <w:highlight w:val="none"/>
        </w:rPr>
        <w:t>：</w:t>
      </w:r>
    </w:p>
    <w:p w14:paraId="3F1E1C42">
      <w:pPr>
        <w:keepNext w:val="0"/>
        <w:keepLines w:val="0"/>
        <w:pageBreakBefore w:val="0"/>
        <w:widowControl w:val="0"/>
        <w:kinsoku/>
        <w:wordWrap/>
        <w:overflowPunct/>
        <w:topLinePunct w:val="0"/>
        <w:autoSpaceDE/>
        <w:autoSpaceDN/>
        <w:bidi w:val="0"/>
        <w:adjustRightInd/>
        <w:snapToGrid/>
        <w:spacing w:before="183" w:line="360" w:lineRule="auto"/>
        <w:ind w:left="1924"/>
        <w:textAlignment w:val="auto"/>
        <w:rPr>
          <w:rFonts w:ascii="宋体" w:hAnsi="宋体" w:eastAsia="宋体" w:cs="宋体"/>
          <w:color w:val="auto"/>
          <w:sz w:val="24"/>
          <w:szCs w:val="24"/>
          <w:highlight w:val="none"/>
        </w:rPr>
      </w:pPr>
      <w:r>
        <w:rPr>
          <w:rFonts w:ascii="宋体" w:hAnsi="宋体" w:eastAsia="宋体" w:cs="宋体"/>
          <w:b/>
          <w:bCs/>
          <w:color w:val="auto"/>
          <w:spacing w:val="-13"/>
          <w:sz w:val="24"/>
          <w:szCs w:val="24"/>
          <w:highlight w:val="none"/>
        </w:rPr>
        <w:t>1.服务要求：</w:t>
      </w:r>
    </w:p>
    <w:p w14:paraId="51B0A340">
      <w:pPr>
        <w:keepNext w:val="0"/>
        <w:keepLines w:val="0"/>
        <w:pageBreakBefore w:val="0"/>
        <w:widowControl w:val="0"/>
        <w:kinsoku/>
        <w:wordWrap/>
        <w:overflowPunct/>
        <w:topLinePunct w:val="0"/>
        <w:autoSpaceDE/>
        <w:autoSpaceDN/>
        <w:bidi w:val="0"/>
        <w:adjustRightInd/>
        <w:snapToGrid/>
        <w:spacing w:before="181" w:line="360" w:lineRule="auto"/>
        <w:ind w:left="1444" w:right="1131" w:firstLine="479"/>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1.1 服务对象为全行员工，经营时间为早、中</w:t>
      </w:r>
      <w:r>
        <w:rPr>
          <w:rFonts w:hint="eastAsia" w:ascii="宋体" w:hAnsi="宋体" w:cs="宋体"/>
          <w:color w:val="auto"/>
          <w:spacing w:val="-1"/>
          <w:sz w:val="24"/>
          <w:szCs w:val="24"/>
          <w:highlight w:val="none"/>
          <w:lang w:val="en-US" w:eastAsia="zh-CN"/>
        </w:rPr>
        <w:t>两</w:t>
      </w:r>
      <w:r>
        <w:rPr>
          <w:rFonts w:ascii="宋体" w:hAnsi="宋体" w:eastAsia="宋体" w:cs="宋体"/>
          <w:color w:val="auto"/>
          <w:spacing w:val="-1"/>
          <w:sz w:val="24"/>
          <w:szCs w:val="24"/>
          <w:highlight w:val="none"/>
        </w:rPr>
        <w:t>餐。正常为工作时间，工作日时</w:t>
      </w:r>
      <w:r>
        <w:rPr>
          <w:rFonts w:ascii="宋体" w:hAnsi="宋体" w:eastAsia="宋体" w:cs="宋体"/>
          <w:color w:val="auto"/>
          <w:spacing w:val="-2"/>
          <w:sz w:val="24"/>
          <w:szCs w:val="24"/>
          <w:highlight w:val="none"/>
        </w:rPr>
        <w:t>间如有调整，应按采购人通知为准。在营业时间内，员工凭卡在食堂就餐。</w:t>
      </w:r>
    </w:p>
    <w:p w14:paraId="22E93B9A">
      <w:pPr>
        <w:keepNext w:val="0"/>
        <w:keepLines w:val="0"/>
        <w:pageBreakBefore w:val="0"/>
        <w:widowControl w:val="0"/>
        <w:kinsoku/>
        <w:wordWrap/>
        <w:overflowPunct/>
        <w:topLinePunct w:val="0"/>
        <w:autoSpaceDE/>
        <w:autoSpaceDN/>
        <w:bidi w:val="0"/>
        <w:adjustRightInd/>
        <w:snapToGrid/>
        <w:spacing w:before="3" w:line="360" w:lineRule="auto"/>
        <w:ind w:left="1425" w:right="1130" w:firstLine="498"/>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1.2 采购人水、电等配套设施齐全，经营过程中的水、电费用由采购人承担。投标人</w:t>
      </w:r>
      <w:r>
        <w:rPr>
          <w:rFonts w:ascii="宋体" w:hAnsi="宋体" w:eastAsia="宋体" w:cs="宋体"/>
          <w:color w:val="auto"/>
          <w:sz w:val="24"/>
          <w:szCs w:val="24"/>
          <w:highlight w:val="none"/>
        </w:rPr>
        <w:t>必须节约，不得浪费，不得用于其他用途，提供食堂所需的</w:t>
      </w:r>
      <w:r>
        <w:rPr>
          <w:rFonts w:ascii="宋体" w:hAnsi="宋体" w:eastAsia="宋体" w:cs="宋体"/>
          <w:color w:val="auto"/>
          <w:spacing w:val="-1"/>
          <w:sz w:val="24"/>
          <w:szCs w:val="24"/>
          <w:highlight w:val="none"/>
        </w:rPr>
        <w:t>设备设施、周转库房。投标人</w:t>
      </w:r>
      <w:r>
        <w:rPr>
          <w:rFonts w:ascii="宋体" w:hAnsi="宋体" w:eastAsia="宋体" w:cs="宋体"/>
          <w:color w:val="auto"/>
          <w:spacing w:val="-4"/>
          <w:sz w:val="24"/>
          <w:szCs w:val="24"/>
          <w:highlight w:val="none"/>
        </w:rPr>
        <w:t>所需其他设备由投标人自备。</w:t>
      </w:r>
    </w:p>
    <w:p w14:paraId="6CD2AF26">
      <w:pPr>
        <w:keepNext w:val="0"/>
        <w:keepLines w:val="0"/>
        <w:pageBreakBefore w:val="0"/>
        <w:widowControl w:val="0"/>
        <w:kinsoku/>
        <w:wordWrap/>
        <w:overflowPunct/>
        <w:topLinePunct w:val="0"/>
        <w:autoSpaceDE/>
        <w:autoSpaceDN/>
        <w:bidi w:val="0"/>
        <w:adjustRightInd/>
        <w:snapToGrid/>
        <w:spacing w:line="360" w:lineRule="auto"/>
        <w:ind w:left="1424" w:right="1131" w:firstLine="499"/>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1.3 特殊装修、建造，投标人须征得采购人同意后方可实施。投标人必须保护好食堂</w:t>
      </w:r>
      <w:r>
        <w:rPr>
          <w:rFonts w:ascii="宋体" w:hAnsi="宋体" w:eastAsia="宋体" w:cs="宋体"/>
          <w:color w:val="auto"/>
          <w:sz w:val="24"/>
          <w:szCs w:val="24"/>
          <w:highlight w:val="none"/>
        </w:rPr>
        <w:t>所有财产，对采购人提供的房屋、厨具设备、各类设施</w:t>
      </w:r>
      <w:r>
        <w:rPr>
          <w:rFonts w:ascii="宋体" w:hAnsi="宋体" w:eastAsia="宋体" w:cs="宋体"/>
          <w:color w:val="auto"/>
          <w:spacing w:val="-1"/>
          <w:sz w:val="24"/>
          <w:szCs w:val="24"/>
          <w:highlight w:val="none"/>
        </w:rPr>
        <w:t>应及时进行保养、维修，所需费用采购人自行承担。服务期满后保证房屋、设备、设施、墙面、店面等完好无损，若有损坏</w:t>
      </w:r>
      <w:r>
        <w:rPr>
          <w:rFonts w:ascii="宋体" w:hAnsi="宋体" w:eastAsia="宋体" w:cs="宋体"/>
          <w:color w:val="auto"/>
          <w:spacing w:val="-3"/>
          <w:sz w:val="24"/>
          <w:szCs w:val="24"/>
          <w:highlight w:val="none"/>
        </w:rPr>
        <w:t>必须承担由此产生的一切费用。</w:t>
      </w:r>
    </w:p>
    <w:p w14:paraId="295BD32B">
      <w:pPr>
        <w:keepNext w:val="0"/>
        <w:keepLines w:val="0"/>
        <w:pageBreakBefore w:val="0"/>
        <w:widowControl w:val="0"/>
        <w:kinsoku/>
        <w:wordWrap/>
        <w:overflowPunct/>
        <w:topLinePunct w:val="0"/>
        <w:autoSpaceDE/>
        <w:autoSpaceDN/>
        <w:bidi w:val="0"/>
        <w:adjustRightInd/>
        <w:snapToGrid/>
        <w:spacing w:before="1" w:line="360" w:lineRule="auto"/>
        <w:ind w:left="1924"/>
        <w:textAlignment w:val="auto"/>
        <w:rPr>
          <w:color w:val="auto"/>
          <w:highlight w:val="none"/>
        </w:rPr>
      </w:pPr>
      <w:r>
        <w:rPr>
          <w:rFonts w:ascii="宋体" w:hAnsi="宋体" w:eastAsia="宋体" w:cs="宋体"/>
          <w:color w:val="auto"/>
          <w:spacing w:val="-4"/>
          <w:sz w:val="24"/>
          <w:szCs w:val="24"/>
          <w:highlight w:val="none"/>
        </w:rPr>
        <w:t>1.4</w:t>
      </w:r>
      <w:r>
        <w:rPr>
          <w:rFonts w:ascii="宋体" w:hAnsi="宋体" w:eastAsia="宋体" w:cs="宋体"/>
          <w:color w:val="auto"/>
          <w:spacing w:val="-51"/>
          <w:sz w:val="24"/>
          <w:szCs w:val="24"/>
          <w:highlight w:val="none"/>
        </w:rPr>
        <w:t xml:space="preserve"> </w:t>
      </w:r>
      <w:r>
        <w:rPr>
          <w:rFonts w:ascii="宋体" w:hAnsi="宋体" w:eastAsia="宋体" w:cs="宋体"/>
          <w:color w:val="auto"/>
          <w:spacing w:val="-4"/>
          <w:sz w:val="24"/>
          <w:szCs w:val="24"/>
          <w:highlight w:val="none"/>
        </w:rPr>
        <w:t>投标人不得将食堂私自转让或委托他人经营，更不得利用采购人资产搞不法经营，</w:t>
      </w:r>
    </w:p>
    <w:p w14:paraId="05E3D4A4">
      <w:pPr>
        <w:keepNext w:val="0"/>
        <w:keepLines w:val="0"/>
        <w:pageBreakBefore w:val="0"/>
        <w:widowControl w:val="0"/>
        <w:kinsoku/>
        <w:wordWrap/>
        <w:overflowPunct/>
        <w:topLinePunct w:val="0"/>
        <w:autoSpaceDE/>
        <w:autoSpaceDN/>
        <w:bidi w:val="0"/>
        <w:adjustRightInd/>
        <w:snapToGrid/>
        <w:spacing w:before="78" w:line="360" w:lineRule="auto"/>
        <w:ind w:left="1429"/>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一经发现，采购人有权取消其服务资格，并给予经济处罚或诉讼。</w:t>
      </w:r>
    </w:p>
    <w:p w14:paraId="289B34A1">
      <w:pPr>
        <w:keepNext w:val="0"/>
        <w:keepLines w:val="0"/>
        <w:pageBreakBefore w:val="0"/>
        <w:widowControl w:val="0"/>
        <w:kinsoku/>
        <w:wordWrap/>
        <w:overflowPunct/>
        <w:topLinePunct w:val="0"/>
        <w:autoSpaceDE/>
        <w:autoSpaceDN/>
        <w:bidi w:val="0"/>
        <w:adjustRightInd/>
        <w:snapToGrid/>
        <w:spacing w:before="214" w:line="360" w:lineRule="auto"/>
        <w:ind w:left="192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1.5</w:t>
      </w:r>
      <w:r>
        <w:rPr>
          <w:rFonts w:ascii="宋体" w:hAnsi="宋体" w:eastAsia="宋体" w:cs="宋体"/>
          <w:color w:val="auto"/>
          <w:spacing w:val="-46"/>
          <w:sz w:val="24"/>
          <w:szCs w:val="24"/>
          <w:highlight w:val="none"/>
        </w:rPr>
        <w:t xml:space="preserve"> </w:t>
      </w:r>
      <w:r>
        <w:rPr>
          <w:rFonts w:ascii="宋体" w:hAnsi="宋体" w:eastAsia="宋体" w:cs="宋体"/>
          <w:color w:val="auto"/>
          <w:spacing w:val="-2"/>
          <w:sz w:val="24"/>
          <w:szCs w:val="24"/>
          <w:highlight w:val="none"/>
        </w:rPr>
        <w:t>食堂所用管理人员、厨师、服务人员由</w:t>
      </w:r>
      <w:r>
        <w:rPr>
          <w:rFonts w:ascii="宋体" w:hAnsi="宋体" w:eastAsia="宋体" w:cs="宋体"/>
          <w:color w:val="auto"/>
          <w:spacing w:val="-4"/>
          <w:sz w:val="24"/>
          <w:szCs w:val="24"/>
          <w:highlight w:val="none"/>
        </w:rPr>
        <w:t>投标人</w:t>
      </w:r>
      <w:r>
        <w:rPr>
          <w:rFonts w:ascii="宋体" w:hAnsi="宋体" w:eastAsia="宋体" w:cs="宋体"/>
          <w:color w:val="auto"/>
          <w:spacing w:val="-2"/>
          <w:sz w:val="24"/>
          <w:szCs w:val="24"/>
          <w:highlight w:val="none"/>
        </w:rPr>
        <w:t>聘用配置，并负责日常管理。</w:t>
      </w:r>
    </w:p>
    <w:p w14:paraId="6D069D00">
      <w:pPr>
        <w:keepNext w:val="0"/>
        <w:keepLines w:val="0"/>
        <w:pageBreakBefore w:val="0"/>
        <w:widowControl w:val="0"/>
        <w:kinsoku/>
        <w:wordWrap/>
        <w:overflowPunct/>
        <w:topLinePunct w:val="0"/>
        <w:autoSpaceDE/>
        <w:autoSpaceDN/>
        <w:bidi w:val="0"/>
        <w:adjustRightInd/>
        <w:snapToGrid/>
        <w:spacing w:before="156" w:line="360" w:lineRule="auto"/>
        <w:ind w:left="1439" w:right="1070" w:firstLine="485"/>
        <w:textAlignment w:val="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1.6</w:t>
      </w:r>
      <w:r>
        <w:rPr>
          <w:rFonts w:ascii="宋体" w:hAnsi="宋体" w:eastAsia="宋体" w:cs="宋体"/>
          <w:color w:val="auto"/>
          <w:spacing w:val="-53"/>
          <w:sz w:val="24"/>
          <w:szCs w:val="24"/>
          <w:highlight w:val="none"/>
        </w:rPr>
        <w:t xml:space="preserve"> </w:t>
      </w:r>
      <w:r>
        <w:rPr>
          <w:rFonts w:ascii="宋体" w:hAnsi="宋体" w:eastAsia="宋体" w:cs="宋体"/>
          <w:color w:val="auto"/>
          <w:spacing w:val="-4"/>
          <w:sz w:val="24"/>
          <w:szCs w:val="24"/>
          <w:highlight w:val="none"/>
        </w:rPr>
        <w:t>食堂所用管理人员、厨师、服务人员的薪资、社保（五险）福利均由投标人</w:t>
      </w:r>
      <w:r>
        <w:rPr>
          <w:rFonts w:ascii="宋体" w:hAnsi="宋体" w:eastAsia="宋体" w:cs="宋体"/>
          <w:color w:val="auto"/>
          <w:spacing w:val="-5"/>
          <w:sz w:val="24"/>
          <w:szCs w:val="24"/>
          <w:highlight w:val="none"/>
        </w:rPr>
        <w:t>负责，</w:t>
      </w:r>
      <w:r>
        <w:rPr>
          <w:rFonts w:ascii="宋体" w:hAnsi="宋体" w:eastAsia="宋体" w:cs="宋体"/>
          <w:color w:val="auto"/>
          <w:spacing w:val="-6"/>
          <w:sz w:val="24"/>
          <w:szCs w:val="24"/>
          <w:highlight w:val="none"/>
        </w:rPr>
        <w:t>费用由投标人承担。</w:t>
      </w:r>
    </w:p>
    <w:p w14:paraId="26599A5C">
      <w:pPr>
        <w:keepNext w:val="0"/>
        <w:keepLines w:val="0"/>
        <w:pageBreakBefore w:val="0"/>
        <w:widowControl w:val="0"/>
        <w:kinsoku/>
        <w:wordWrap/>
        <w:overflowPunct/>
        <w:topLinePunct w:val="0"/>
        <w:autoSpaceDE/>
        <w:autoSpaceDN/>
        <w:bidi w:val="0"/>
        <w:adjustRightInd/>
        <w:snapToGrid/>
        <w:spacing w:line="360" w:lineRule="auto"/>
        <w:ind w:left="1427" w:right="1131" w:firstLine="496"/>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1.7 每周五上午投标人将下一周菜单交予采购人后勤主管部门核定，采购人有权对菜</w:t>
      </w:r>
      <w:r>
        <w:rPr>
          <w:rFonts w:ascii="宋体" w:hAnsi="宋体" w:eastAsia="宋体" w:cs="宋体"/>
          <w:color w:val="auto"/>
          <w:spacing w:val="-3"/>
          <w:sz w:val="24"/>
          <w:szCs w:val="24"/>
          <w:highlight w:val="none"/>
        </w:rPr>
        <w:t>单进行修改，投标人必须按修改后的菜单执行。</w:t>
      </w:r>
    </w:p>
    <w:p w14:paraId="0728A5B9">
      <w:pPr>
        <w:keepNext w:val="0"/>
        <w:keepLines w:val="0"/>
        <w:pageBreakBefore w:val="0"/>
        <w:widowControl w:val="0"/>
        <w:kinsoku/>
        <w:wordWrap/>
        <w:overflowPunct/>
        <w:topLinePunct w:val="0"/>
        <w:autoSpaceDE/>
        <w:autoSpaceDN/>
        <w:bidi w:val="0"/>
        <w:adjustRightInd/>
        <w:snapToGrid/>
        <w:spacing w:before="1" w:line="360" w:lineRule="auto"/>
        <w:ind w:left="1924"/>
        <w:textAlignment w:val="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1.8</w:t>
      </w:r>
      <w:r>
        <w:rPr>
          <w:rFonts w:ascii="宋体" w:hAnsi="宋体" w:eastAsia="宋体" w:cs="宋体"/>
          <w:color w:val="auto"/>
          <w:spacing w:val="-50"/>
          <w:sz w:val="24"/>
          <w:szCs w:val="24"/>
          <w:highlight w:val="none"/>
        </w:rPr>
        <w:t xml:space="preserve"> </w:t>
      </w:r>
      <w:r>
        <w:rPr>
          <w:rFonts w:ascii="宋体" w:hAnsi="宋体" w:eastAsia="宋体" w:cs="宋体"/>
          <w:color w:val="auto"/>
          <w:spacing w:val="-8"/>
          <w:sz w:val="24"/>
          <w:szCs w:val="24"/>
          <w:highlight w:val="none"/>
        </w:rPr>
        <w:t>供应种类及方式：</w:t>
      </w:r>
    </w:p>
    <w:p w14:paraId="4B516953">
      <w:pPr>
        <w:keepNext w:val="0"/>
        <w:keepLines w:val="0"/>
        <w:pageBreakBefore w:val="0"/>
        <w:widowControl w:val="0"/>
        <w:kinsoku/>
        <w:wordWrap/>
        <w:overflowPunct/>
        <w:topLinePunct w:val="0"/>
        <w:autoSpaceDE/>
        <w:autoSpaceDN/>
        <w:bidi w:val="0"/>
        <w:adjustRightInd/>
        <w:snapToGrid/>
        <w:spacing w:before="155" w:line="360" w:lineRule="auto"/>
        <w:ind w:left="1426" w:right="1130" w:firstLine="486"/>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（1）自助式早餐标准不</w:t>
      </w:r>
      <w:r>
        <w:rPr>
          <w:rFonts w:ascii="宋体" w:hAnsi="宋体" w:eastAsia="宋体" w:cs="宋体"/>
          <w:color w:val="auto"/>
          <w:spacing w:val="-1"/>
          <w:sz w:val="24"/>
          <w:szCs w:val="24"/>
          <w:highlight w:val="none"/>
        </w:rPr>
        <w:t>少于</w:t>
      </w:r>
      <w:r>
        <w:rPr>
          <w:rFonts w:ascii="宋体" w:hAnsi="宋体" w:eastAsia="宋体" w:cs="宋体"/>
          <w:color w:val="auto"/>
          <w:spacing w:val="-37"/>
          <w:sz w:val="24"/>
          <w:szCs w:val="24"/>
          <w:highlight w:val="none"/>
        </w:rPr>
        <w:t xml:space="preserve"> </w:t>
      </w:r>
      <w:r>
        <w:rPr>
          <w:rFonts w:ascii="宋体" w:hAnsi="宋体" w:eastAsia="宋体" w:cs="宋体"/>
          <w:color w:val="auto"/>
          <w:spacing w:val="-1"/>
          <w:sz w:val="24"/>
          <w:szCs w:val="24"/>
          <w:highlight w:val="none"/>
        </w:rPr>
        <w:t>8</w:t>
      </w:r>
      <w:r>
        <w:rPr>
          <w:rFonts w:ascii="宋体" w:hAnsi="宋体" w:eastAsia="宋体" w:cs="宋体"/>
          <w:color w:val="auto"/>
          <w:spacing w:val="-51"/>
          <w:sz w:val="24"/>
          <w:szCs w:val="24"/>
          <w:highlight w:val="none"/>
        </w:rPr>
        <w:t xml:space="preserve"> </w:t>
      </w:r>
      <w:r>
        <w:rPr>
          <w:rFonts w:ascii="宋体" w:hAnsi="宋体" w:eastAsia="宋体" w:cs="宋体"/>
          <w:color w:val="auto"/>
          <w:spacing w:val="-1"/>
          <w:sz w:val="24"/>
          <w:szCs w:val="24"/>
          <w:highlight w:val="none"/>
        </w:rPr>
        <w:t>元/人</w:t>
      </w:r>
      <w:r>
        <w:rPr>
          <w:rFonts w:ascii="宋体" w:hAnsi="宋体" w:eastAsia="宋体" w:cs="宋体"/>
          <w:color w:val="auto"/>
          <w:spacing w:val="-1"/>
          <w:sz w:val="24"/>
          <w:szCs w:val="24"/>
          <w:highlight w:val="none"/>
        </w:rPr>
        <w:t>，至少包括牛</w:t>
      </w:r>
      <w:r>
        <w:rPr>
          <w:rFonts w:ascii="宋体" w:hAnsi="宋体" w:eastAsia="宋体" w:cs="宋体"/>
          <w:color w:val="auto"/>
          <w:spacing w:val="-2"/>
          <w:sz w:val="24"/>
          <w:szCs w:val="24"/>
          <w:highlight w:val="none"/>
        </w:rPr>
        <w:t>奶或豆浆，面条（浇头为每周两大</w:t>
      </w:r>
      <w:r>
        <w:rPr>
          <w:rFonts w:ascii="宋体" w:hAnsi="宋体" w:eastAsia="宋体" w:cs="宋体"/>
          <w:color w:val="auto"/>
          <w:sz w:val="24"/>
          <w:szCs w:val="24"/>
          <w:highlight w:val="none"/>
        </w:rPr>
        <w:t>荤、一小荤、两蔬）、鸡蛋、小吃、杂粮、稀饭、</w:t>
      </w:r>
      <w:r>
        <w:rPr>
          <w:rFonts w:ascii="宋体" w:hAnsi="宋体" w:eastAsia="宋体" w:cs="宋体"/>
          <w:color w:val="auto"/>
          <w:spacing w:val="-1"/>
          <w:sz w:val="24"/>
          <w:szCs w:val="24"/>
          <w:highlight w:val="none"/>
        </w:rPr>
        <w:t>水果、面点、热（凉）菜（凉拌时蔬不</w:t>
      </w:r>
      <w:r>
        <w:rPr>
          <w:rFonts w:ascii="宋体" w:hAnsi="宋体" w:eastAsia="宋体" w:cs="宋体"/>
          <w:color w:val="auto"/>
          <w:spacing w:val="-3"/>
          <w:sz w:val="24"/>
          <w:szCs w:val="24"/>
          <w:highlight w:val="none"/>
        </w:rPr>
        <w:t>少于</w:t>
      </w:r>
      <w:r>
        <w:rPr>
          <w:rFonts w:ascii="宋体" w:hAnsi="宋体" w:eastAsia="宋体" w:cs="宋体"/>
          <w:color w:val="auto"/>
          <w:spacing w:val="-35"/>
          <w:sz w:val="24"/>
          <w:szCs w:val="24"/>
          <w:highlight w:val="none"/>
        </w:rPr>
        <w:t xml:space="preserve"> </w:t>
      </w:r>
      <w:r>
        <w:rPr>
          <w:rFonts w:ascii="宋体" w:hAnsi="宋体" w:eastAsia="宋体" w:cs="宋体"/>
          <w:color w:val="auto"/>
          <w:spacing w:val="-3"/>
          <w:sz w:val="24"/>
          <w:szCs w:val="24"/>
          <w:highlight w:val="none"/>
        </w:rPr>
        <w:t>2</w:t>
      </w:r>
      <w:r>
        <w:rPr>
          <w:rFonts w:ascii="宋体" w:hAnsi="宋体" w:eastAsia="宋体" w:cs="宋体"/>
          <w:color w:val="auto"/>
          <w:spacing w:val="-53"/>
          <w:sz w:val="24"/>
          <w:szCs w:val="24"/>
          <w:highlight w:val="none"/>
        </w:rPr>
        <w:t xml:space="preserve"> </w:t>
      </w:r>
      <w:r>
        <w:rPr>
          <w:rFonts w:ascii="宋体" w:hAnsi="宋体" w:eastAsia="宋体" w:cs="宋体"/>
          <w:color w:val="auto"/>
          <w:spacing w:val="-3"/>
          <w:sz w:val="24"/>
          <w:szCs w:val="24"/>
          <w:highlight w:val="none"/>
        </w:rPr>
        <w:t>个）、调味等，所提供早点必须自制（除半成品）。</w:t>
      </w:r>
    </w:p>
    <w:p w14:paraId="5B9E8523">
      <w:pPr>
        <w:keepNext w:val="0"/>
        <w:keepLines w:val="0"/>
        <w:pageBreakBefore w:val="0"/>
        <w:widowControl w:val="0"/>
        <w:kinsoku/>
        <w:wordWrap/>
        <w:overflowPunct/>
        <w:topLinePunct w:val="0"/>
        <w:autoSpaceDE/>
        <w:autoSpaceDN/>
        <w:bidi w:val="0"/>
        <w:adjustRightInd/>
        <w:snapToGrid/>
        <w:spacing w:before="2" w:line="360" w:lineRule="auto"/>
        <w:ind w:left="1432" w:right="1063" w:firstLine="480"/>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（2）打餐式午餐标准</w:t>
      </w:r>
      <w:r>
        <w:rPr>
          <w:rFonts w:ascii="宋体" w:hAnsi="宋体" w:eastAsia="宋体" w:cs="宋体"/>
          <w:color w:val="auto"/>
          <w:spacing w:val="-3"/>
          <w:sz w:val="24"/>
          <w:szCs w:val="24"/>
          <w:highlight w:val="none"/>
        </w:rPr>
        <w:t>不少于</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18</w:t>
      </w:r>
      <w:r>
        <w:rPr>
          <w:rFonts w:ascii="宋体" w:hAnsi="宋体" w:eastAsia="宋体" w:cs="宋体"/>
          <w:color w:val="auto"/>
          <w:spacing w:val="-51"/>
          <w:sz w:val="24"/>
          <w:szCs w:val="24"/>
          <w:highlight w:val="none"/>
        </w:rPr>
        <w:t xml:space="preserve"> </w:t>
      </w:r>
      <w:r>
        <w:rPr>
          <w:rFonts w:ascii="宋体" w:hAnsi="宋体" w:eastAsia="宋体" w:cs="宋体"/>
          <w:color w:val="auto"/>
          <w:spacing w:val="-3"/>
          <w:sz w:val="24"/>
          <w:szCs w:val="24"/>
          <w:highlight w:val="none"/>
        </w:rPr>
        <w:t>元/人</w:t>
      </w:r>
      <w:r>
        <w:rPr>
          <w:rFonts w:ascii="宋体" w:hAnsi="宋体" w:eastAsia="宋体" w:cs="宋体"/>
          <w:color w:val="auto"/>
          <w:spacing w:val="-3"/>
          <w:sz w:val="24"/>
          <w:szCs w:val="24"/>
          <w:highlight w:val="none"/>
        </w:rPr>
        <w:t>，菜可任选两荤两素（注：必须提供四荤四素，</w:t>
      </w:r>
      <w:r>
        <w:rPr>
          <w:rFonts w:ascii="宋体" w:hAnsi="宋体" w:eastAsia="宋体" w:cs="宋体"/>
          <w:color w:val="auto"/>
          <w:spacing w:val="-2"/>
          <w:sz w:val="24"/>
          <w:szCs w:val="24"/>
          <w:highlight w:val="none"/>
        </w:rPr>
        <w:t>小吃</w:t>
      </w:r>
      <w:r>
        <w:rPr>
          <w:rFonts w:ascii="宋体" w:hAnsi="宋体" w:eastAsia="宋体" w:cs="宋体"/>
          <w:color w:val="auto"/>
          <w:spacing w:val="6"/>
          <w:sz w:val="24"/>
          <w:szCs w:val="24"/>
          <w:highlight w:val="none"/>
        </w:rPr>
        <w:t>），</w:t>
      </w:r>
      <w:r>
        <w:rPr>
          <w:rFonts w:ascii="宋体" w:hAnsi="宋体" w:eastAsia="宋体" w:cs="宋体"/>
          <w:color w:val="auto"/>
          <w:spacing w:val="-2"/>
          <w:sz w:val="24"/>
          <w:szCs w:val="24"/>
          <w:highlight w:val="none"/>
        </w:rPr>
        <w:t>主食至少包括米饭、面食，其他至少包括汤、调味、酸奶或水果等。</w:t>
      </w:r>
    </w:p>
    <w:p w14:paraId="5EBDC12C">
      <w:pPr>
        <w:keepNext w:val="0"/>
        <w:keepLines w:val="0"/>
        <w:pageBreakBefore w:val="0"/>
        <w:widowControl w:val="0"/>
        <w:kinsoku/>
        <w:wordWrap/>
        <w:overflowPunct/>
        <w:topLinePunct w:val="0"/>
        <w:autoSpaceDE/>
        <w:autoSpaceDN/>
        <w:bidi w:val="0"/>
        <w:adjustRightInd/>
        <w:snapToGrid/>
        <w:spacing w:before="1" w:line="360" w:lineRule="auto"/>
        <w:ind w:left="1427" w:right="1177" w:firstLine="485"/>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）外卖商品根据职工需求，提供外卖品清单，外卖商品价格由投标人自</w:t>
      </w:r>
      <w:r>
        <w:rPr>
          <w:rFonts w:ascii="宋体" w:hAnsi="宋体" w:eastAsia="宋体" w:cs="宋体"/>
          <w:color w:val="auto"/>
          <w:spacing w:val="-3"/>
          <w:sz w:val="24"/>
          <w:szCs w:val="24"/>
          <w:highlight w:val="none"/>
        </w:rPr>
        <w:t>主定价</w:t>
      </w:r>
      <w:r>
        <w:rPr>
          <w:rFonts w:hint="eastAsia" w:ascii="宋体" w:hAnsi="宋体" w:cs="宋体"/>
          <w:color w:val="auto"/>
          <w:spacing w:val="-3"/>
          <w:sz w:val="24"/>
          <w:szCs w:val="24"/>
          <w:highlight w:val="none"/>
          <w:lang w:val="en-US" w:eastAsia="zh-CN"/>
        </w:rPr>
        <w:t>且不超过市场价。</w:t>
      </w:r>
    </w:p>
    <w:p w14:paraId="38555D0D">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2.运行要求</w:t>
      </w:r>
    </w:p>
    <w:p w14:paraId="6FD97AF0">
      <w:pPr>
        <w:keepNext w:val="0"/>
        <w:keepLines w:val="0"/>
        <w:pageBreakBefore w:val="0"/>
        <w:widowControl w:val="0"/>
        <w:kinsoku/>
        <w:wordWrap/>
        <w:overflowPunct/>
        <w:topLinePunct w:val="0"/>
        <w:autoSpaceDE/>
        <w:autoSpaceDN/>
        <w:bidi w:val="0"/>
        <w:adjustRightInd/>
        <w:snapToGrid/>
        <w:spacing w:before="156" w:line="360" w:lineRule="auto"/>
        <w:ind w:left="1914"/>
        <w:textAlignment w:val="auto"/>
        <w:rPr>
          <w:rFonts w:hint="default" w:ascii="宋体" w:hAnsi="宋体" w:eastAsia="宋体" w:cs="宋体"/>
          <w:color w:val="auto"/>
          <w:sz w:val="24"/>
          <w:szCs w:val="24"/>
          <w:highlight w:val="none"/>
          <w:lang w:val="en-US" w:eastAsia="zh-CN"/>
        </w:rPr>
      </w:pPr>
      <w:r>
        <w:rPr>
          <w:rFonts w:hint="eastAsia" w:ascii="宋体" w:hAnsi="宋体" w:cs="宋体"/>
          <w:b/>
          <w:bCs/>
          <w:color w:val="auto"/>
          <w:spacing w:val="-4"/>
          <w:sz w:val="24"/>
          <w:szCs w:val="24"/>
          <w:highlight w:val="none"/>
          <w:lang w:val="en-US" w:eastAsia="zh-CN"/>
        </w:rPr>
        <w:t>2.1</w:t>
      </w:r>
      <w:r>
        <w:rPr>
          <w:rFonts w:ascii="宋体" w:hAnsi="宋体" w:eastAsia="宋体" w:cs="宋体"/>
          <w:color w:val="auto"/>
          <w:spacing w:val="-3"/>
          <w:sz w:val="24"/>
          <w:szCs w:val="24"/>
          <w:highlight w:val="none"/>
        </w:rPr>
        <w:t>组织架构要求</w:t>
      </w:r>
    </w:p>
    <w:p w14:paraId="4C4A701B">
      <w:pPr>
        <w:keepNext w:val="0"/>
        <w:keepLines w:val="0"/>
        <w:pageBreakBefore w:val="0"/>
        <w:widowControl w:val="0"/>
        <w:kinsoku/>
        <w:wordWrap/>
        <w:overflowPunct/>
        <w:topLinePunct w:val="0"/>
        <w:autoSpaceDE/>
        <w:autoSpaceDN/>
        <w:bidi w:val="0"/>
        <w:adjustRightInd/>
        <w:snapToGrid/>
        <w:spacing w:before="2" w:line="360" w:lineRule="auto"/>
        <w:ind w:left="1428" w:right="1130" w:firstLine="484"/>
        <w:textAlignment w:val="auto"/>
        <w:rPr>
          <w:rFonts w:ascii="宋体" w:hAnsi="宋体" w:eastAsia="宋体" w:cs="宋体"/>
          <w:color w:val="auto"/>
          <w:spacing w:val="-4"/>
          <w:sz w:val="24"/>
          <w:szCs w:val="24"/>
          <w:highlight w:val="none"/>
        </w:rPr>
      </w:pPr>
      <w:r>
        <w:rPr>
          <w:rFonts w:ascii="宋体" w:hAnsi="宋体" w:eastAsia="宋体" w:cs="宋体"/>
          <w:color w:val="auto"/>
          <w:spacing w:val="2"/>
          <w:sz w:val="24"/>
          <w:szCs w:val="24"/>
          <w:highlight w:val="none"/>
        </w:rPr>
        <w:t>（1）</w:t>
      </w:r>
      <w:r>
        <w:rPr>
          <w:rFonts w:ascii="宋体" w:hAnsi="宋体" w:eastAsia="宋体" w:cs="宋体"/>
          <w:color w:val="auto"/>
          <w:spacing w:val="-4"/>
          <w:sz w:val="24"/>
          <w:szCs w:val="24"/>
          <w:highlight w:val="none"/>
        </w:rPr>
        <w:t>实行项目经理负责制，项目经理应有丰富的工作经验、餐饮管理技能和较强的管理能力。</w:t>
      </w:r>
    </w:p>
    <w:p w14:paraId="4209145B">
      <w:pPr>
        <w:keepNext w:val="0"/>
        <w:keepLines w:val="0"/>
        <w:pageBreakBefore w:val="0"/>
        <w:widowControl w:val="0"/>
        <w:kinsoku/>
        <w:wordWrap/>
        <w:overflowPunct/>
        <w:topLinePunct w:val="0"/>
        <w:autoSpaceDE/>
        <w:autoSpaceDN/>
        <w:bidi w:val="0"/>
        <w:adjustRightInd/>
        <w:snapToGrid/>
        <w:spacing w:before="2" w:line="360" w:lineRule="auto"/>
        <w:ind w:left="1428" w:right="1130" w:firstLine="484"/>
        <w:textAlignment w:val="auto"/>
        <w:rPr>
          <w:rFonts w:ascii="宋体" w:hAnsi="宋体" w:eastAsia="宋体" w:cs="宋体"/>
          <w:color w:val="auto"/>
          <w:spacing w:val="-4"/>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2</w:t>
      </w: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pacing w:val="-4"/>
          <w:sz w:val="24"/>
          <w:szCs w:val="24"/>
          <w:highlight w:val="none"/>
        </w:rPr>
        <w:t>应根据职工食堂的具体情况，科学合理配置管理和服务人员，人员安排必须充分满足各岗位和工作量的需要，所有人员需取得</w:t>
      </w:r>
      <w:r>
        <w:rPr>
          <w:rFonts w:hint="eastAsia" w:ascii="宋体" w:hAnsi="宋体" w:eastAsia="宋体" w:cs="宋体"/>
          <w:color w:val="auto"/>
          <w:spacing w:val="-4"/>
          <w:sz w:val="24"/>
          <w:szCs w:val="24"/>
          <w:highlight w:val="none"/>
        </w:rPr>
        <w:t>有效</w:t>
      </w:r>
      <w:r>
        <w:rPr>
          <w:rFonts w:ascii="宋体" w:hAnsi="宋体" w:eastAsia="宋体" w:cs="宋体"/>
          <w:color w:val="auto"/>
          <w:spacing w:val="-4"/>
          <w:sz w:val="24"/>
          <w:szCs w:val="24"/>
          <w:highlight w:val="none"/>
        </w:rPr>
        <w:t>健康证。</w:t>
      </w:r>
    </w:p>
    <w:p w14:paraId="6E9BAE6E">
      <w:pPr>
        <w:keepNext w:val="0"/>
        <w:keepLines w:val="0"/>
        <w:pageBreakBefore w:val="0"/>
        <w:widowControl w:val="0"/>
        <w:kinsoku/>
        <w:wordWrap/>
        <w:overflowPunct/>
        <w:topLinePunct w:val="0"/>
        <w:autoSpaceDE/>
        <w:autoSpaceDN/>
        <w:bidi w:val="0"/>
        <w:adjustRightInd/>
        <w:snapToGrid/>
        <w:spacing w:before="2" w:line="360" w:lineRule="auto"/>
        <w:ind w:left="1428" w:right="1130" w:firstLine="484"/>
        <w:textAlignment w:val="auto"/>
        <w:rPr>
          <w:rFonts w:ascii="宋体" w:hAnsi="宋体" w:eastAsia="宋体" w:cs="宋体"/>
          <w:color w:val="auto"/>
          <w:spacing w:val="-4"/>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3</w:t>
      </w:r>
      <w:r>
        <w:rPr>
          <w:rFonts w:ascii="宋体" w:hAnsi="宋体" w:eastAsia="宋体" w:cs="宋体"/>
          <w:color w:val="auto"/>
          <w:spacing w:val="2"/>
          <w:sz w:val="24"/>
          <w:szCs w:val="24"/>
          <w:highlight w:val="none"/>
        </w:rPr>
        <w:t>）</w:t>
      </w:r>
      <w:r>
        <w:rPr>
          <w:rFonts w:ascii="宋体" w:hAnsi="宋体" w:eastAsia="宋体" w:cs="宋体"/>
          <w:color w:val="auto"/>
          <w:spacing w:val="-4"/>
          <w:sz w:val="24"/>
          <w:szCs w:val="24"/>
          <w:highlight w:val="none"/>
        </w:rPr>
        <w:t>服务人员应具有良好的职业道德和协作精神，身体健康，政治上可靠，遵纪守法，服从分配，吃苦耐劳，爱岗敬业，无不良记录。</w:t>
      </w:r>
    </w:p>
    <w:p w14:paraId="572FA2DF">
      <w:pPr>
        <w:keepNext w:val="0"/>
        <w:keepLines w:val="0"/>
        <w:pageBreakBefore w:val="0"/>
        <w:widowControl w:val="0"/>
        <w:kinsoku/>
        <w:wordWrap/>
        <w:overflowPunct/>
        <w:topLinePunct w:val="0"/>
        <w:autoSpaceDE/>
        <w:autoSpaceDN/>
        <w:bidi w:val="0"/>
        <w:adjustRightInd/>
        <w:snapToGrid/>
        <w:spacing w:before="2" w:line="360" w:lineRule="auto"/>
        <w:ind w:left="1428" w:right="1130" w:firstLine="484"/>
        <w:textAlignment w:val="auto"/>
        <w:rPr>
          <w:rFonts w:ascii="宋体" w:hAnsi="宋体" w:eastAsia="宋体" w:cs="宋体"/>
          <w:color w:val="auto"/>
          <w:spacing w:val="-4"/>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4</w:t>
      </w:r>
      <w:r>
        <w:rPr>
          <w:rFonts w:ascii="宋体" w:hAnsi="宋体" w:eastAsia="宋体" w:cs="宋体"/>
          <w:color w:val="auto"/>
          <w:spacing w:val="2"/>
          <w:sz w:val="24"/>
          <w:szCs w:val="24"/>
          <w:highlight w:val="none"/>
        </w:rPr>
        <w:t>）</w:t>
      </w:r>
      <w:r>
        <w:rPr>
          <w:rFonts w:ascii="宋体" w:hAnsi="宋体" w:eastAsia="宋体" w:cs="宋体"/>
          <w:color w:val="auto"/>
          <w:spacing w:val="-4"/>
          <w:sz w:val="24"/>
          <w:szCs w:val="24"/>
          <w:highlight w:val="none"/>
        </w:rPr>
        <w:t>管理与服务人员在服务过程中应保持良好的精神状态；表情自然、亲切；举止大方、有礼；用语文明、规范；提供主动、热情、周到、及时的服务。</w:t>
      </w:r>
    </w:p>
    <w:p w14:paraId="3CFA2500">
      <w:pPr>
        <w:keepNext w:val="0"/>
        <w:keepLines w:val="0"/>
        <w:pageBreakBefore w:val="0"/>
        <w:widowControl w:val="0"/>
        <w:kinsoku/>
        <w:wordWrap/>
        <w:overflowPunct/>
        <w:topLinePunct w:val="0"/>
        <w:autoSpaceDE/>
        <w:autoSpaceDN/>
        <w:bidi w:val="0"/>
        <w:adjustRightInd/>
        <w:snapToGrid/>
        <w:spacing w:before="150" w:line="360" w:lineRule="auto"/>
        <w:ind w:left="1428" w:right="1145" w:firstLine="243"/>
        <w:textAlignment w:val="auto"/>
        <w:rPr>
          <w:rFonts w:ascii="宋体" w:hAnsi="宋体" w:eastAsia="宋体" w:cs="Times New Roman"/>
          <w:b/>
          <w:bCs/>
          <w:color w:val="auto"/>
          <w:sz w:val="24"/>
          <w:szCs w:val="21"/>
          <w:highlight w:val="none"/>
        </w:rPr>
      </w:pPr>
      <w:r>
        <w:rPr>
          <w:rFonts w:hint="eastAsia" w:ascii="宋体" w:hAnsi="宋体" w:eastAsia="宋体" w:cs="Times New Roman"/>
          <w:b/>
          <w:bCs/>
          <w:color w:val="auto"/>
          <w:sz w:val="24"/>
          <w:szCs w:val="21"/>
          <w:highlight w:val="none"/>
          <w:lang w:val="en-US" w:eastAsia="zh-CN"/>
        </w:rPr>
        <w:t>2.2</w:t>
      </w:r>
      <w:r>
        <w:rPr>
          <w:rFonts w:ascii="宋体" w:hAnsi="宋体" w:eastAsia="宋体" w:cs="Times New Roman"/>
          <w:b/>
          <w:bCs/>
          <w:color w:val="auto"/>
          <w:sz w:val="24"/>
          <w:szCs w:val="21"/>
          <w:highlight w:val="none"/>
        </w:rPr>
        <w:t>人员配备要求</w:t>
      </w:r>
      <w:r>
        <w:rPr>
          <w:rFonts w:ascii="宋体" w:hAnsi="宋体" w:eastAsia="宋体" w:cs="Times New Roman"/>
          <w:b/>
          <w:bCs/>
          <w:color w:val="auto"/>
          <w:sz w:val="24"/>
          <w:szCs w:val="21"/>
          <w:highlight w:val="none"/>
        </w:rPr>
        <w:t>：</w:t>
      </w:r>
      <w:r>
        <w:rPr>
          <w:rFonts w:ascii="宋体" w:hAnsi="宋体" w:eastAsia="宋体" w:cs="宋体"/>
          <w:color w:val="auto"/>
          <w:spacing w:val="3"/>
          <w:sz w:val="24"/>
          <w:szCs w:val="24"/>
          <w:highlight w:val="none"/>
        </w:rPr>
        <w:t>投标人提供的人员管理架构、岗位人员配备、服务人</w:t>
      </w:r>
      <w:r>
        <w:rPr>
          <w:rFonts w:ascii="宋体" w:hAnsi="宋体" w:eastAsia="宋体" w:cs="宋体"/>
          <w:color w:val="auto"/>
          <w:spacing w:val="2"/>
          <w:sz w:val="24"/>
          <w:szCs w:val="24"/>
          <w:highlight w:val="none"/>
        </w:rPr>
        <w:t>员综合素质，应满足采购</w:t>
      </w:r>
      <w:r>
        <w:rPr>
          <w:rFonts w:ascii="宋体" w:hAnsi="宋体" w:eastAsia="宋体" w:cs="宋体"/>
          <w:color w:val="auto"/>
          <w:spacing w:val="-1"/>
          <w:sz w:val="24"/>
          <w:szCs w:val="24"/>
          <w:highlight w:val="none"/>
        </w:rPr>
        <w:t>人服务需求，采购人保留调整上述相关人员服务需求的权力。提供服务员工人数由</w:t>
      </w:r>
      <w:r>
        <w:rPr>
          <w:rFonts w:hint="eastAsia" w:ascii="宋体" w:hAnsi="宋体" w:cs="宋体"/>
          <w:color w:val="auto"/>
          <w:spacing w:val="-1"/>
          <w:sz w:val="24"/>
          <w:szCs w:val="24"/>
          <w:highlight w:val="none"/>
          <w:lang w:val="en-US" w:eastAsia="zh-CN"/>
        </w:rPr>
        <w:t>投标人</w:t>
      </w:r>
      <w:r>
        <w:rPr>
          <w:rFonts w:ascii="宋体" w:hAnsi="宋体" w:eastAsia="宋体" w:cs="宋体"/>
          <w:color w:val="auto"/>
          <w:sz w:val="24"/>
          <w:szCs w:val="24"/>
          <w:highlight w:val="none"/>
        </w:rPr>
        <w:t>按需配置（包含厨师、面点师、各类工种人员等</w:t>
      </w:r>
      <w:r>
        <w:rPr>
          <w:rFonts w:ascii="宋体" w:hAnsi="宋体" w:eastAsia="宋体" w:cs="宋体"/>
          <w:color w:val="auto"/>
          <w:spacing w:val="-1"/>
          <w:sz w:val="24"/>
          <w:szCs w:val="24"/>
          <w:highlight w:val="none"/>
        </w:rPr>
        <w:t>），</w:t>
      </w:r>
      <w:r>
        <w:rPr>
          <w:rFonts w:ascii="宋体" w:hAnsi="宋体" w:eastAsia="宋体" w:cs="宋体"/>
          <w:color w:val="auto"/>
          <w:spacing w:val="-1"/>
          <w:sz w:val="24"/>
          <w:szCs w:val="24"/>
          <w:highlight w:val="none"/>
        </w:rPr>
        <w:t>但总人数不得低于10人，其中</w:t>
      </w:r>
      <w:r>
        <w:rPr>
          <w:rFonts w:hint="eastAsia" w:ascii="宋体" w:hAnsi="宋体" w:cs="宋体"/>
          <w:color w:val="auto"/>
          <w:spacing w:val="-1"/>
          <w:sz w:val="24"/>
          <w:szCs w:val="24"/>
          <w:highlight w:val="none"/>
          <w:lang w:val="en-US" w:eastAsia="zh-CN"/>
        </w:rPr>
        <w:t>项目负责人1名、</w:t>
      </w:r>
      <w:r>
        <w:rPr>
          <w:rFonts w:ascii="宋体" w:hAnsi="宋体" w:eastAsia="宋体" w:cs="宋体"/>
          <w:color w:val="auto"/>
          <w:spacing w:val="-1"/>
          <w:sz w:val="24"/>
          <w:szCs w:val="24"/>
          <w:highlight w:val="none"/>
        </w:rPr>
        <w:t>厨师</w:t>
      </w:r>
      <w:r>
        <w:rPr>
          <w:rFonts w:ascii="宋体" w:hAnsi="宋体" w:eastAsia="宋体" w:cs="宋体"/>
          <w:color w:val="auto"/>
          <w:spacing w:val="-4"/>
          <w:sz w:val="24"/>
          <w:szCs w:val="24"/>
          <w:highlight w:val="none"/>
        </w:rPr>
        <w:t>不得少于</w:t>
      </w:r>
      <w:r>
        <w:rPr>
          <w:rFonts w:ascii="宋体" w:hAnsi="宋体" w:eastAsia="宋体" w:cs="宋体"/>
          <w:color w:val="auto"/>
          <w:spacing w:val="-30"/>
          <w:sz w:val="24"/>
          <w:szCs w:val="24"/>
          <w:highlight w:val="none"/>
        </w:rPr>
        <w:t xml:space="preserve"> </w:t>
      </w:r>
      <w:r>
        <w:rPr>
          <w:rFonts w:hint="eastAsia" w:ascii="宋体" w:hAnsi="宋体" w:cs="宋体"/>
          <w:color w:val="auto"/>
          <w:spacing w:val="-4"/>
          <w:sz w:val="24"/>
          <w:szCs w:val="24"/>
          <w:highlight w:val="none"/>
          <w:lang w:val="en-US" w:eastAsia="zh-CN"/>
        </w:rPr>
        <w:t>2</w:t>
      </w:r>
      <w:r>
        <w:rPr>
          <w:rFonts w:ascii="宋体" w:hAnsi="宋体" w:eastAsia="宋体" w:cs="宋体"/>
          <w:color w:val="auto"/>
          <w:spacing w:val="-4"/>
          <w:sz w:val="24"/>
          <w:szCs w:val="24"/>
          <w:highlight w:val="none"/>
        </w:rPr>
        <w:t>人，面点师</w:t>
      </w:r>
      <w:r>
        <w:rPr>
          <w:rFonts w:hint="eastAsia" w:ascii="宋体" w:hAnsi="宋体" w:cs="宋体"/>
          <w:color w:val="auto"/>
          <w:spacing w:val="-4"/>
          <w:sz w:val="24"/>
          <w:szCs w:val="24"/>
          <w:highlight w:val="none"/>
          <w:lang w:val="en-US" w:eastAsia="zh-CN"/>
        </w:rPr>
        <w:t>至少1</w:t>
      </w:r>
      <w:r>
        <w:rPr>
          <w:rFonts w:ascii="宋体" w:hAnsi="宋体" w:eastAsia="宋体" w:cs="宋体"/>
          <w:color w:val="auto"/>
          <w:spacing w:val="-4"/>
          <w:sz w:val="24"/>
          <w:szCs w:val="24"/>
          <w:highlight w:val="none"/>
        </w:rPr>
        <w:t>人，</w:t>
      </w:r>
      <w:r>
        <w:rPr>
          <w:rFonts w:hint="eastAsia" w:ascii="宋体" w:hAnsi="宋体" w:cs="宋体"/>
          <w:color w:val="auto"/>
          <w:spacing w:val="2"/>
          <w:sz w:val="24"/>
          <w:szCs w:val="24"/>
          <w:highlight w:val="none"/>
          <w:lang w:val="en-US" w:eastAsia="zh-CN"/>
        </w:rPr>
        <w:t>勤杂/</w:t>
      </w:r>
      <w:r>
        <w:rPr>
          <w:rFonts w:hint="eastAsia" w:ascii="宋体" w:hAnsi="宋体" w:cs="宋体"/>
          <w:color w:val="auto"/>
          <w:spacing w:val="-4"/>
          <w:sz w:val="24"/>
          <w:szCs w:val="24"/>
          <w:highlight w:val="none"/>
          <w:lang w:val="en-US" w:eastAsia="zh-CN"/>
        </w:rPr>
        <w:t>保洁</w:t>
      </w:r>
      <w:r>
        <w:rPr>
          <w:rFonts w:ascii="宋体" w:hAnsi="宋体" w:eastAsia="宋体" w:cs="宋体"/>
          <w:color w:val="auto"/>
          <w:spacing w:val="-4"/>
          <w:sz w:val="24"/>
          <w:szCs w:val="24"/>
          <w:highlight w:val="none"/>
        </w:rPr>
        <w:t>人员不得少于</w:t>
      </w:r>
      <w:r>
        <w:rPr>
          <w:rFonts w:hint="eastAsia" w:ascii="宋体" w:hAnsi="宋体" w:cs="宋体"/>
          <w:color w:val="auto"/>
          <w:spacing w:val="-53"/>
          <w:sz w:val="24"/>
          <w:szCs w:val="24"/>
          <w:highlight w:val="none"/>
          <w:lang w:val="en-US" w:eastAsia="zh-CN"/>
        </w:rPr>
        <w:t>6</w:t>
      </w:r>
      <w:r>
        <w:rPr>
          <w:rFonts w:ascii="宋体" w:hAnsi="宋体" w:eastAsia="宋体" w:cs="宋体"/>
          <w:color w:val="auto"/>
          <w:spacing w:val="-4"/>
          <w:sz w:val="24"/>
          <w:szCs w:val="24"/>
          <w:highlight w:val="none"/>
        </w:rPr>
        <w:t>人。</w:t>
      </w:r>
    </w:p>
    <w:p w14:paraId="7C9ECD2D">
      <w:pPr>
        <w:keepNext w:val="0"/>
        <w:keepLines w:val="0"/>
        <w:pageBreakBefore w:val="0"/>
        <w:widowControl w:val="0"/>
        <w:kinsoku/>
        <w:wordWrap/>
        <w:overflowPunct/>
        <w:topLinePunct w:val="0"/>
        <w:autoSpaceDE/>
        <w:autoSpaceDN/>
        <w:bidi w:val="0"/>
        <w:adjustRightInd/>
        <w:snapToGrid/>
        <w:spacing w:before="150" w:line="360" w:lineRule="auto"/>
        <w:ind w:left="1428" w:right="1145" w:firstLine="243"/>
        <w:textAlignment w:val="auto"/>
        <w:rPr>
          <w:rFonts w:ascii="宋体" w:hAnsi="宋体" w:eastAsia="宋体" w:cs="宋体"/>
          <w:color w:val="auto"/>
          <w:spacing w:val="-4"/>
          <w:sz w:val="24"/>
          <w:szCs w:val="24"/>
          <w:highlight w:val="none"/>
        </w:rPr>
      </w:pPr>
      <w:r>
        <w:rPr>
          <w:rFonts w:ascii="宋体" w:hAnsi="宋体" w:eastAsia="宋体" w:cs="宋体"/>
          <w:b/>
          <w:bCs/>
          <w:color w:val="auto"/>
          <w:spacing w:val="2"/>
          <w:sz w:val="24"/>
          <w:szCs w:val="24"/>
          <w:highlight w:val="none"/>
        </w:rPr>
        <w:t>★各岗位设置服务人数为最低要求，供应商必须书面承诺人员配置不少于各岗位最低人数配置及要求（响应文件中提供加盖供应商公章的承诺书，否则响应无效）。</w:t>
      </w:r>
    </w:p>
    <w:p w14:paraId="01E63270">
      <w:pPr>
        <w:keepNext w:val="0"/>
        <w:keepLines w:val="0"/>
        <w:pageBreakBefore w:val="0"/>
        <w:widowControl w:val="0"/>
        <w:kinsoku/>
        <w:wordWrap/>
        <w:overflowPunct/>
        <w:topLinePunct w:val="0"/>
        <w:autoSpaceDE/>
        <w:autoSpaceDN/>
        <w:bidi w:val="0"/>
        <w:adjustRightInd/>
        <w:snapToGrid/>
        <w:spacing w:before="2" w:line="360" w:lineRule="auto"/>
        <w:ind w:left="1428" w:right="1130" w:firstLine="484"/>
        <w:textAlignment w:val="auto"/>
        <w:rPr>
          <w:rFonts w:ascii="宋体" w:hAnsi="宋体" w:eastAsia="宋体" w:cs="宋体"/>
          <w:color w:val="auto"/>
          <w:spacing w:val="-4"/>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1</w:t>
      </w:r>
      <w:r>
        <w:rPr>
          <w:rFonts w:ascii="宋体" w:hAnsi="宋体" w:eastAsia="宋体" w:cs="宋体"/>
          <w:color w:val="auto"/>
          <w:spacing w:val="2"/>
          <w:sz w:val="24"/>
          <w:szCs w:val="24"/>
          <w:highlight w:val="none"/>
        </w:rPr>
        <w:t>）</w:t>
      </w:r>
      <w:r>
        <w:rPr>
          <w:rFonts w:ascii="宋体" w:hAnsi="宋体" w:eastAsia="宋体" w:cs="宋体"/>
          <w:color w:val="auto"/>
          <w:spacing w:val="-4"/>
          <w:sz w:val="24"/>
          <w:szCs w:val="24"/>
          <w:highlight w:val="none"/>
        </w:rPr>
        <w:t>项目负责人：具有餐饮服务管理经验，有较好的沟通、管理、协调能力</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rPr>
        <w:t>持有</w:t>
      </w:r>
      <w:r>
        <w:rPr>
          <w:rFonts w:ascii="宋体" w:hAnsi="宋体" w:eastAsia="宋体" w:cs="宋体"/>
          <w:color w:val="auto"/>
          <w:spacing w:val="2"/>
          <w:sz w:val="24"/>
          <w:szCs w:val="24"/>
          <w:highlight w:val="none"/>
        </w:rPr>
        <w:t>有效健康证）</w:t>
      </w:r>
      <w:r>
        <w:rPr>
          <w:rFonts w:ascii="宋体" w:hAnsi="宋体" w:eastAsia="宋体" w:cs="宋体"/>
          <w:color w:val="auto"/>
          <w:spacing w:val="-4"/>
          <w:sz w:val="24"/>
          <w:szCs w:val="24"/>
          <w:highlight w:val="none"/>
        </w:rPr>
        <w:t>。</w:t>
      </w:r>
    </w:p>
    <w:p w14:paraId="03F9D1DF">
      <w:pPr>
        <w:keepNext w:val="0"/>
        <w:keepLines w:val="0"/>
        <w:pageBreakBefore w:val="0"/>
        <w:widowControl w:val="0"/>
        <w:kinsoku/>
        <w:wordWrap/>
        <w:overflowPunct/>
        <w:topLinePunct w:val="0"/>
        <w:autoSpaceDE/>
        <w:autoSpaceDN/>
        <w:bidi w:val="0"/>
        <w:adjustRightInd/>
        <w:snapToGrid/>
        <w:spacing w:before="2" w:line="360" w:lineRule="auto"/>
        <w:ind w:left="1478" w:leftChars="704" w:right="1130" w:firstLine="226" w:firstLineChars="93"/>
        <w:textAlignment w:val="auto"/>
        <w:rPr>
          <w:rFonts w:ascii="宋体" w:hAnsi="宋体" w:eastAsia="宋体" w:cs="宋体"/>
          <w:color w:val="auto"/>
          <w:spacing w:val="-4"/>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2</w:t>
      </w:r>
      <w:r>
        <w:rPr>
          <w:rFonts w:ascii="宋体" w:hAnsi="宋体" w:eastAsia="宋体" w:cs="宋体"/>
          <w:color w:val="auto"/>
          <w:spacing w:val="2"/>
          <w:sz w:val="24"/>
          <w:szCs w:val="24"/>
          <w:highlight w:val="none"/>
        </w:rPr>
        <w:t>）</w:t>
      </w:r>
      <w:r>
        <w:rPr>
          <w:rFonts w:ascii="宋体" w:hAnsi="宋体" w:eastAsia="宋体" w:cs="宋体"/>
          <w:color w:val="auto"/>
          <w:spacing w:val="-4"/>
          <w:sz w:val="24"/>
          <w:szCs w:val="24"/>
          <w:highlight w:val="none"/>
        </w:rPr>
        <w:t>厨师：</w:t>
      </w:r>
      <w:r>
        <w:rPr>
          <w:rFonts w:hint="eastAsia" w:ascii="宋体" w:hAnsi="宋体" w:cs="宋体"/>
          <w:color w:val="auto"/>
          <w:spacing w:val="-4"/>
          <w:sz w:val="24"/>
          <w:szCs w:val="24"/>
          <w:highlight w:val="none"/>
          <w:lang w:val="en-US" w:eastAsia="zh-CN"/>
        </w:rPr>
        <w:t>具有</w:t>
      </w:r>
      <w:r>
        <w:rPr>
          <w:rFonts w:ascii="宋体" w:hAnsi="宋体" w:eastAsia="宋体" w:cs="宋体"/>
          <w:color w:val="auto"/>
          <w:spacing w:val="-4"/>
          <w:sz w:val="24"/>
          <w:szCs w:val="24"/>
          <w:highlight w:val="none"/>
        </w:rPr>
        <w:t>相关工作经历</w:t>
      </w:r>
      <w:r>
        <w:rPr>
          <w:rFonts w:hint="eastAsia" w:ascii="宋体" w:hAnsi="宋体" w:cs="宋体"/>
          <w:color w:val="auto"/>
          <w:spacing w:val="-4"/>
          <w:sz w:val="24"/>
          <w:szCs w:val="24"/>
          <w:highlight w:val="none"/>
          <w:lang w:eastAsia="zh-CN"/>
        </w:rPr>
        <w:t>，</w:t>
      </w:r>
      <w:r>
        <w:rPr>
          <w:rFonts w:ascii="宋体" w:hAnsi="宋体" w:eastAsia="宋体" w:cs="宋体"/>
          <w:color w:val="auto"/>
          <w:spacing w:val="-4"/>
          <w:sz w:val="24"/>
          <w:szCs w:val="24"/>
          <w:highlight w:val="none"/>
        </w:rPr>
        <w:t>服从工作安排，认真负责，肯钻研业务</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rPr>
        <w:t>持有</w:t>
      </w:r>
      <w:r>
        <w:rPr>
          <w:rFonts w:ascii="宋体" w:hAnsi="宋体" w:eastAsia="宋体" w:cs="宋体"/>
          <w:color w:val="auto"/>
          <w:spacing w:val="2"/>
          <w:sz w:val="24"/>
          <w:szCs w:val="24"/>
          <w:highlight w:val="none"/>
        </w:rPr>
        <w:t>有效健康证）</w:t>
      </w:r>
      <w:r>
        <w:rPr>
          <w:rFonts w:ascii="宋体" w:hAnsi="宋体" w:eastAsia="宋体" w:cs="宋体"/>
          <w:color w:val="auto"/>
          <w:spacing w:val="-4"/>
          <w:sz w:val="24"/>
          <w:szCs w:val="24"/>
          <w:highlight w:val="none"/>
        </w:rPr>
        <w:t>。</w:t>
      </w:r>
    </w:p>
    <w:p w14:paraId="462D2FFD">
      <w:pPr>
        <w:keepNext w:val="0"/>
        <w:keepLines w:val="0"/>
        <w:pageBreakBefore w:val="0"/>
        <w:widowControl w:val="0"/>
        <w:kinsoku/>
        <w:wordWrap/>
        <w:overflowPunct/>
        <w:topLinePunct w:val="0"/>
        <w:autoSpaceDE/>
        <w:autoSpaceDN/>
        <w:bidi w:val="0"/>
        <w:adjustRightInd/>
        <w:snapToGrid/>
        <w:spacing w:before="150" w:line="360" w:lineRule="auto"/>
        <w:ind w:left="1428" w:right="1145" w:firstLine="243"/>
        <w:textAlignment w:val="auto"/>
        <w:rPr>
          <w:rFonts w:hint="eastAsia" w:ascii="宋体" w:hAnsi="宋体" w:cs="宋体"/>
          <w:color w:val="auto"/>
          <w:spacing w:val="-4"/>
          <w:sz w:val="24"/>
          <w:szCs w:val="24"/>
          <w:highlight w:val="none"/>
          <w:lang w:val="en-US" w:eastAsia="zh-CN"/>
        </w:rPr>
      </w:pPr>
      <w:r>
        <w:rPr>
          <w:rFonts w:hint="eastAsia" w:ascii="宋体" w:hAnsi="宋体" w:cs="宋体"/>
          <w:color w:val="auto"/>
          <w:spacing w:val="-4"/>
          <w:sz w:val="24"/>
          <w:szCs w:val="24"/>
          <w:highlight w:val="none"/>
          <w:lang w:val="en-US" w:eastAsia="zh-CN"/>
        </w:rPr>
        <w:t>（3）面点师：具有相关工作经历，能制作各类中西式点心；服从工作安排，认真负责，肯钻研业务</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rPr>
        <w:t>持有</w:t>
      </w:r>
      <w:r>
        <w:rPr>
          <w:rFonts w:ascii="宋体" w:hAnsi="宋体" w:eastAsia="宋体" w:cs="宋体"/>
          <w:color w:val="auto"/>
          <w:spacing w:val="2"/>
          <w:sz w:val="24"/>
          <w:szCs w:val="24"/>
          <w:highlight w:val="none"/>
        </w:rPr>
        <w:t>有效健康证）</w:t>
      </w:r>
      <w:r>
        <w:rPr>
          <w:rFonts w:hint="eastAsia" w:ascii="宋体" w:hAnsi="宋体" w:cs="宋体"/>
          <w:color w:val="auto"/>
          <w:spacing w:val="-4"/>
          <w:sz w:val="24"/>
          <w:szCs w:val="24"/>
          <w:highlight w:val="none"/>
          <w:lang w:val="en-US" w:eastAsia="zh-CN"/>
        </w:rPr>
        <w:t>。</w:t>
      </w:r>
    </w:p>
    <w:p w14:paraId="1C553261">
      <w:pPr>
        <w:keepNext w:val="0"/>
        <w:keepLines w:val="0"/>
        <w:pageBreakBefore w:val="0"/>
        <w:widowControl w:val="0"/>
        <w:kinsoku/>
        <w:wordWrap/>
        <w:overflowPunct/>
        <w:topLinePunct w:val="0"/>
        <w:autoSpaceDE/>
        <w:autoSpaceDN/>
        <w:bidi w:val="0"/>
        <w:adjustRightInd/>
        <w:snapToGrid/>
        <w:spacing w:before="150" w:line="360" w:lineRule="auto"/>
        <w:ind w:left="1428" w:right="1145" w:firstLine="243"/>
        <w:textAlignment w:val="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4</w:t>
      </w: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勤杂/</w:t>
      </w:r>
      <w:r>
        <w:rPr>
          <w:rFonts w:hint="eastAsia" w:ascii="宋体" w:hAnsi="宋体" w:cs="宋体"/>
          <w:color w:val="auto"/>
          <w:spacing w:val="-4"/>
          <w:sz w:val="24"/>
          <w:szCs w:val="24"/>
          <w:highlight w:val="none"/>
          <w:lang w:val="en-US" w:eastAsia="zh-CN"/>
        </w:rPr>
        <w:t>保洁</w:t>
      </w:r>
      <w:r>
        <w:rPr>
          <w:rFonts w:ascii="宋体" w:hAnsi="宋体" w:eastAsia="宋体" w:cs="宋体"/>
          <w:color w:val="auto"/>
          <w:spacing w:val="-4"/>
          <w:sz w:val="24"/>
          <w:szCs w:val="24"/>
          <w:highlight w:val="none"/>
        </w:rPr>
        <w:t>人员：须经培训后上岗，容貌端正，身体健康</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rPr>
        <w:t>持有</w:t>
      </w:r>
      <w:r>
        <w:rPr>
          <w:rFonts w:ascii="宋体" w:hAnsi="宋体" w:eastAsia="宋体" w:cs="宋体"/>
          <w:color w:val="auto"/>
          <w:spacing w:val="2"/>
          <w:sz w:val="24"/>
          <w:szCs w:val="24"/>
          <w:highlight w:val="none"/>
        </w:rPr>
        <w:t>有效健康证）。</w:t>
      </w:r>
    </w:p>
    <w:p w14:paraId="63714904">
      <w:pPr>
        <w:keepNext w:val="0"/>
        <w:keepLines w:val="0"/>
        <w:pageBreakBefore w:val="0"/>
        <w:widowControl w:val="0"/>
        <w:kinsoku/>
        <w:wordWrap/>
        <w:overflowPunct/>
        <w:topLinePunct w:val="0"/>
        <w:autoSpaceDE/>
        <w:autoSpaceDN/>
        <w:bidi w:val="0"/>
        <w:adjustRightInd/>
        <w:snapToGrid/>
        <w:spacing w:before="150" w:line="360" w:lineRule="auto"/>
        <w:ind w:left="1428" w:right="1145" w:firstLine="243"/>
        <w:textAlignment w:val="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5</w:t>
      </w:r>
      <w:r>
        <w:rPr>
          <w:rFonts w:ascii="宋体" w:hAnsi="宋体" w:eastAsia="宋体" w:cs="宋体"/>
          <w:color w:val="auto"/>
          <w:spacing w:val="2"/>
          <w:sz w:val="24"/>
          <w:szCs w:val="24"/>
          <w:highlight w:val="none"/>
        </w:rPr>
        <w:t>）重要岗位人员：厨师、面点师、</w:t>
      </w:r>
      <w:r>
        <w:rPr>
          <w:rFonts w:hint="eastAsia" w:ascii="宋体" w:hAnsi="宋体" w:cs="宋体"/>
          <w:color w:val="auto"/>
          <w:spacing w:val="2"/>
          <w:sz w:val="24"/>
          <w:szCs w:val="24"/>
          <w:highlight w:val="none"/>
          <w:lang w:val="en-US" w:eastAsia="zh-CN"/>
        </w:rPr>
        <w:t>勤杂/保洁人员</w:t>
      </w:r>
      <w:r>
        <w:rPr>
          <w:rFonts w:ascii="宋体" w:hAnsi="宋体" w:eastAsia="宋体" w:cs="宋体"/>
          <w:color w:val="auto"/>
          <w:spacing w:val="2"/>
          <w:sz w:val="24"/>
          <w:szCs w:val="24"/>
          <w:highlight w:val="none"/>
        </w:rPr>
        <w:t>等，</w:t>
      </w:r>
      <w:r>
        <w:rPr>
          <w:rFonts w:hint="eastAsia" w:ascii="宋体" w:hAnsi="宋体" w:eastAsia="宋体" w:cs="宋体"/>
          <w:color w:val="auto"/>
          <w:spacing w:val="2"/>
          <w:sz w:val="24"/>
          <w:szCs w:val="24"/>
          <w:highlight w:val="none"/>
        </w:rPr>
        <w:t>需</w:t>
      </w:r>
      <w:r>
        <w:rPr>
          <w:rFonts w:ascii="宋体" w:hAnsi="宋体" w:eastAsia="宋体" w:cs="宋体"/>
          <w:color w:val="auto"/>
          <w:spacing w:val="2"/>
          <w:sz w:val="24"/>
          <w:szCs w:val="24"/>
          <w:highlight w:val="none"/>
        </w:rPr>
        <w:t>经甲方的</w:t>
      </w:r>
      <w:r>
        <w:rPr>
          <w:rFonts w:hint="eastAsia" w:ascii="宋体" w:hAnsi="宋体" w:eastAsia="宋体" w:cs="宋体"/>
          <w:color w:val="auto"/>
          <w:spacing w:val="2"/>
          <w:sz w:val="24"/>
          <w:szCs w:val="24"/>
          <w:highlight w:val="none"/>
        </w:rPr>
        <w:t>认可后</w:t>
      </w:r>
      <w:r>
        <w:rPr>
          <w:rFonts w:ascii="宋体" w:hAnsi="宋体" w:eastAsia="宋体" w:cs="宋体"/>
          <w:color w:val="auto"/>
          <w:spacing w:val="2"/>
          <w:sz w:val="24"/>
          <w:szCs w:val="24"/>
          <w:highlight w:val="none"/>
        </w:rPr>
        <w:t>，方可上岗；厨师、面点师、服务岗位人员的调离、更换，须事先征得甲方同意。</w:t>
      </w:r>
    </w:p>
    <w:p w14:paraId="3712F15B">
      <w:pPr>
        <w:keepNext w:val="0"/>
        <w:keepLines w:val="0"/>
        <w:pageBreakBefore w:val="0"/>
        <w:widowControl w:val="0"/>
        <w:kinsoku/>
        <w:wordWrap/>
        <w:overflowPunct/>
        <w:topLinePunct w:val="0"/>
        <w:autoSpaceDE/>
        <w:autoSpaceDN/>
        <w:bidi w:val="0"/>
        <w:adjustRightInd/>
        <w:snapToGrid/>
        <w:spacing w:before="2" w:line="360" w:lineRule="auto"/>
        <w:ind w:left="1439" w:right="1142" w:firstLine="233"/>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6</w:t>
      </w:r>
      <w:r>
        <w:rPr>
          <w:rFonts w:ascii="宋体" w:hAnsi="宋体" w:eastAsia="宋体" w:cs="宋体"/>
          <w:color w:val="auto"/>
          <w:spacing w:val="2"/>
          <w:sz w:val="24"/>
          <w:szCs w:val="24"/>
          <w:highlight w:val="none"/>
        </w:rPr>
        <w:t>）如遇特殊情况，采购人如有临时餐饮保障需求，超出中标人人员配置的，中标人</w:t>
      </w:r>
      <w:r>
        <w:rPr>
          <w:rFonts w:ascii="宋体" w:hAnsi="宋体" w:eastAsia="宋体" w:cs="宋体"/>
          <w:color w:val="auto"/>
          <w:spacing w:val="-3"/>
          <w:sz w:val="24"/>
          <w:szCs w:val="24"/>
          <w:highlight w:val="none"/>
        </w:rPr>
        <w:t>需自行协调人员，保证用餐过程顺利进行。</w:t>
      </w:r>
    </w:p>
    <w:p w14:paraId="28E18592">
      <w:pPr>
        <w:keepNext w:val="0"/>
        <w:keepLines w:val="0"/>
        <w:pageBreakBefore w:val="0"/>
        <w:widowControl w:val="0"/>
        <w:kinsoku/>
        <w:wordWrap/>
        <w:overflowPunct/>
        <w:topLinePunct w:val="0"/>
        <w:autoSpaceDE/>
        <w:autoSpaceDN/>
        <w:bidi w:val="0"/>
        <w:adjustRightInd/>
        <w:snapToGrid/>
        <w:spacing w:before="2" w:line="360" w:lineRule="auto"/>
        <w:ind w:left="1427" w:right="1129" w:firstLine="244"/>
        <w:textAlignment w:val="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7</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食堂工作人员工作质量、能力不符合采购人</w:t>
      </w:r>
      <w:r>
        <w:rPr>
          <w:rFonts w:ascii="宋体" w:hAnsi="宋体" w:eastAsia="宋体" w:cs="宋体"/>
          <w:color w:val="auto"/>
          <w:spacing w:val="2"/>
          <w:sz w:val="24"/>
          <w:szCs w:val="24"/>
          <w:highlight w:val="none"/>
        </w:rPr>
        <w:t>工作要求的，采购人有权向</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pacing w:val="2"/>
          <w:sz w:val="24"/>
          <w:szCs w:val="24"/>
          <w:highlight w:val="none"/>
        </w:rPr>
        <w:t>提</w:t>
      </w:r>
      <w:r>
        <w:rPr>
          <w:rFonts w:ascii="宋体" w:hAnsi="宋体" w:eastAsia="宋体" w:cs="宋体"/>
          <w:color w:val="auto"/>
          <w:sz w:val="24"/>
          <w:szCs w:val="24"/>
          <w:highlight w:val="none"/>
        </w:rPr>
        <w:t>出人员更换的要求，</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z w:val="24"/>
          <w:szCs w:val="24"/>
          <w:highlight w:val="none"/>
        </w:rPr>
        <w:t>应配合落实人员调整，无故</w:t>
      </w:r>
      <w:r>
        <w:rPr>
          <w:rFonts w:ascii="宋体" w:hAnsi="宋体" w:eastAsia="宋体" w:cs="宋体"/>
          <w:color w:val="auto"/>
          <w:spacing w:val="-1"/>
          <w:sz w:val="24"/>
          <w:szCs w:val="24"/>
          <w:highlight w:val="none"/>
        </w:rPr>
        <w:t>不作调整的，视情况按该用工人员</w:t>
      </w:r>
      <w:r>
        <w:rPr>
          <w:rFonts w:ascii="宋体" w:hAnsi="宋体" w:eastAsia="宋体" w:cs="宋体"/>
          <w:color w:val="auto"/>
          <w:spacing w:val="-5"/>
          <w:sz w:val="24"/>
          <w:szCs w:val="24"/>
          <w:highlight w:val="none"/>
        </w:rPr>
        <w:t>人力成本扣减费用。</w:t>
      </w:r>
    </w:p>
    <w:p w14:paraId="2C78AF40">
      <w:pPr>
        <w:keepNext w:val="0"/>
        <w:keepLines w:val="0"/>
        <w:pageBreakBefore w:val="0"/>
        <w:widowControl w:val="0"/>
        <w:kinsoku/>
        <w:wordWrap/>
        <w:overflowPunct/>
        <w:topLinePunct w:val="0"/>
        <w:autoSpaceDE/>
        <w:autoSpaceDN/>
        <w:bidi w:val="0"/>
        <w:adjustRightInd/>
        <w:snapToGrid/>
        <w:spacing w:before="150" w:line="360" w:lineRule="auto"/>
        <w:ind w:left="1428" w:right="1145" w:firstLine="243"/>
        <w:textAlignment w:val="auto"/>
        <w:rPr>
          <w:rFonts w:ascii="宋体" w:hAnsi="宋体" w:eastAsia="宋体" w:cs="宋体"/>
          <w:b/>
          <w:bCs/>
          <w:color w:val="auto"/>
          <w:spacing w:val="-4"/>
          <w:sz w:val="24"/>
          <w:szCs w:val="24"/>
          <w:highlight w:val="none"/>
        </w:rPr>
      </w:pP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8</w:t>
      </w:r>
      <w:r>
        <w:rPr>
          <w:rFonts w:ascii="宋体" w:hAnsi="宋体" w:eastAsia="宋体" w:cs="宋体"/>
          <w:color w:val="auto"/>
          <w:spacing w:val="2"/>
          <w:sz w:val="24"/>
          <w:szCs w:val="24"/>
          <w:highlight w:val="none"/>
        </w:rPr>
        <w:t>）</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pacing w:val="2"/>
          <w:sz w:val="24"/>
          <w:szCs w:val="24"/>
          <w:highlight w:val="none"/>
        </w:rPr>
        <w:t>的用工要符合国家的相关规定，必须与招聘人员签订用工合同，</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pacing w:val="2"/>
          <w:sz w:val="24"/>
          <w:szCs w:val="24"/>
          <w:highlight w:val="none"/>
        </w:rPr>
        <w:t>派遣的外包人员要出具介绍信或派工单，不得派遣内病退、退休人员。聘用人员需按规定缴纳社保及发放工资。如未按照国家相关法律规定为招聘人员缴纳各项保险，发生任何的经济、法律纠纷和人身损害赔偿等，由</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pacing w:val="2"/>
          <w:sz w:val="24"/>
          <w:szCs w:val="24"/>
          <w:highlight w:val="none"/>
        </w:rPr>
        <w:t>自行解决。因食堂外包人员的责任造成</w:t>
      </w:r>
      <w:r>
        <w:rPr>
          <w:rFonts w:hint="eastAsia" w:ascii="宋体" w:hAnsi="宋体" w:cs="宋体"/>
          <w:color w:val="auto"/>
          <w:spacing w:val="2"/>
          <w:sz w:val="24"/>
          <w:szCs w:val="24"/>
          <w:highlight w:val="none"/>
          <w:lang w:val="en-US" w:eastAsia="zh-CN"/>
        </w:rPr>
        <w:t>采购人</w:t>
      </w:r>
      <w:r>
        <w:rPr>
          <w:rFonts w:ascii="宋体" w:hAnsi="宋体" w:eastAsia="宋体" w:cs="宋体"/>
          <w:color w:val="auto"/>
          <w:spacing w:val="2"/>
          <w:sz w:val="24"/>
          <w:szCs w:val="24"/>
          <w:highlight w:val="none"/>
        </w:rPr>
        <w:t>财产损失的，由</w:t>
      </w:r>
      <w:r>
        <w:rPr>
          <w:rFonts w:hint="eastAsia" w:ascii="宋体" w:hAnsi="宋体" w:cs="宋体"/>
          <w:color w:val="auto"/>
          <w:spacing w:val="2"/>
          <w:sz w:val="24"/>
          <w:szCs w:val="24"/>
          <w:highlight w:val="none"/>
          <w:lang w:val="en-US" w:eastAsia="zh-CN"/>
        </w:rPr>
        <w:t>投标人</w:t>
      </w:r>
      <w:r>
        <w:rPr>
          <w:rFonts w:ascii="宋体" w:hAnsi="宋体" w:eastAsia="宋体" w:cs="宋体"/>
          <w:color w:val="auto"/>
          <w:spacing w:val="2"/>
          <w:sz w:val="24"/>
          <w:szCs w:val="24"/>
          <w:highlight w:val="none"/>
        </w:rPr>
        <w:t>负责赔偿。</w:t>
      </w:r>
    </w:p>
    <w:p w14:paraId="1F904D71">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eastAsia="宋体"/>
          <w:color w:val="auto"/>
          <w:highlight w:val="none"/>
          <w:lang w:eastAsia="zh-CN"/>
        </w:rPr>
      </w:pPr>
      <w:r>
        <w:rPr>
          <w:rFonts w:hint="eastAsia" w:ascii="宋体" w:hAnsi="宋体" w:cs="Times New Roman"/>
          <w:b/>
          <w:bCs/>
          <w:color w:val="auto"/>
          <w:sz w:val="24"/>
          <w:szCs w:val="21"/>
          <w:highlight w:val="none"/>
          <w:lang w:val="en-US" w:eastAsia="zh-CN"/>
        </w:rPr>
        <w:t>2.3</w:t>
      </w:r>
      <w:r>
        <w:rPr>
          <w:rFonts w:ascii="宋体" w:hAnsi="宋体" w:eastAsia="宋体" w:cs="Times New Roman"/>
          <w:b/>
          <w:bCs/>
          <w:color w:val="auto"/>
          <w:sz w:val="24"/>
          <w:szCs w:val="21"/>
          <w:highlight w:val="none"/>
        </w:rPr>
        <w:t>供餐时间要求</w:t>
      </w:r>
      <w:r>
        <w:rPr>
          <w:rFonts w:hint="eastAsia" w:ascii="宋体" w:hAnsi="宋体" w:cs="Times New Roman"/>
          <w:b/>
          <w:bCs/>
          <w:color w:val="auto"/>
          <w:sz w:val="24"/>
          <w:szCs w:val="21"/>
          <w:highlight w:val="none"/>
          <w:lang w:eastAsia="zh-CN"/>
        </w:rPr>
        <w:t>：</w:t>
      </w:r>
    </w:p>
    <w:p w14:paraId="6E3B0E51">
      <w:pPr>
        <w:keepNext w:val="0"/>
        <w:keepLines w:val="0"/>
        <w:pageBreakBefore w:val="0"/>
        <w:widowControl w:val="0"/>
        <w:kinsoku/>
        <w:wordWrap/>
        <w:overflowPunct/>
        <w:topLinePunct w:val="0"/>
        <w:autoSpaceDE/>
        <w:autoSpaceDN/>
        <w:bidi w:val="0"/>
        <w:adjustRightInd/>
        <w:snapToGrid/>
        <w:spacing w:before="78" w:line="360" w:lineRule="auto"/>
        <w:ind w:left="1670" w:right="1149" w:firstLine="237"/>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参照采购人工作的作息时间，即早餐供应时间为</w:t>
      </w:r>
      <w:r>
        <w:rPr>
          <w:rFonts w:ascii="宋体" w:hAnsi="宋体" w:eastAsia="宋体" w:cs="宋体"/>
          <w:color w:val="auto"/>
          <w:spacing w:val="-45"/>
          <w:sz w:val="24"/>
          <w:szCs w:val="24"/>
          <w:highlight w:val="none"/>
        </w:rPr>
        <w:t xml:space="preserve"> </w:t>
      </w:r>
      <w:r>
        <w:rPr>
          <w:rFonts w:ascii="宋体" w:hAnsi="宋体" w:eastAsia="宋体" w:cs="宋体"/>
          <w:color w:val="auto"/>
          <w:spacing w:val="-2"/>
          <w:sz w:val="24"/>
          <w:szCs w:val="24"/>
          <w:highlight w:val="none"/>
        </w:rPr>
        <w:t>7：30-8</w:t>
      </w:r>
      <w:r>
        <w:rPr>
          <w:rFonts w:hint="eastAsia" w:ascii="宋体" w:hAnsi="宋体" w:cs="宋体"/>
          <w:color w:val="auto"/>
          <w:spacing w:val="-2"/>
          <w:sz w:val="24"/>
          <w:szCs w:val="24"/>
          <w:highlight w:val="none"/>
          <w:lang w:val="en-US" w:eastAsia="zh-CN"/>
        </w:rPr>
        <w:t>:2</w:t>
      </w:r>
      <w:r>
        <w:rPr>
          <w:rFonts w:ascii="宋体" w:hAnsi="宋体" w:eastAsia="宋体" w:cs="宋体"/>
          <w:color w:val="auto"/>
          <w:spacing w:val="-2"/>
          <w:sz w:val="24"/>
          <w:szCs w:val="24"/>
          <w:highlight w:val="none"/>
        </w:rPr>
        <w:t>0，午餐供应时</w:t>
      </w:r>
      <w:r>
        <w:rPr>
          <w:rFonts w:ascii="宋体" w:hAnsi="宋体" w:eastAsia="宋体" w:cs="宋体"/>
          <w:color w:val="auto"/>
          <w:spacing w:val="-3"/>
          <w:sz w:val="24"/>
          <w:szCs w:val="24"/>
          <w:highlight w:val="none"/>
        </w:rPr>
        <w:t>间为</w:t>
      </w:r>
      <w:r>
        <w:rPr>
          <w:rFonts w:ascii="宋体" w:hAnsi="宋体" w:eastAsia="宋体" w:cs="宋体"/>
          <w:color w:val="auto"/>
          <w:spacing w:val="-23"/>
          <w:sz w:val="24"/>
          <w:szCs w:val="24"/>
          <w:highlight w:val="none"/>
        </w:rPr>
        <w:t xml:space="preserve"> </w:t>
      </w:r>
      <w:r>
        <w:rPr>
          <w:rFonts w:ascii="宋体" w:hAnsi="宋体" w:eastAsia="宋体" w:cs="宋体"/>
          <w:color w:val="auto"/>
          <w:spacing w:val="-3"/>
          <w:sz w:val="24"/>
          <w:szCs w:val="24"/>
          <w:highlight w:val="none"/>
        </w:rPr>
        <w:t>11：</w:t>
      </w:r>
      <w:r>
        <w:rPr>
          <w:rFonts w:ascii="宋体" w:hAnsi="宋体" w:eastAsia="宋体" w:cs="宋体"/>
          <w:color w:val="auto"/>
          <w:sz w:val="24"/>
          <w:szCs w:val="24"/>
          <w:highlight w:val="none"/>
        </w:rPr>
        <w:t xml:space="preserve"> </w:t>
      </w:r>
      <w:r>
        <w:rPr>
          <w:rFonts w:hint="eastAsia" w:ascii="宋体" w:hAnsi="宋体" w:cs="宋体"/>
          <w:color w:val="auto"/>
          <w:spacing w:val="-3"/>
          <w:sz w:val="24"/>
          <w:szCs w:val="24"/>
          <w:highlight w:val="none"/>
          <w:lang w:val="en-US" w:eastAsia="zh-CN"/>
        </w:rPr>
        <w:t>5</w:t>
      </w:r>
      <w:r>
        <w:rPr>
          <w:rFonts w:ascii="宋体" w:hAnsi="宋体" w:eastAsia="宋体" w:cs="宋体"/>
          <w:color w:val="auto"/>
          <w:spacing w:val="-3"/>
          <w:sz w:val="24"/>
          <w:szCs w:val="24"/>
          <w:highlight w:val="none"/>
        </w:rPr>
        <w:t>0-1</w:t>
      </w:r>
      <w:r>
        <w:rPr>
          <w:rFonts w:hint="eastAsia" w:ascii="宋体" w:hAnsi="宋体" w:cs="宋体"/>
          <w:color w:val="auto"/>
          <w:spacing w:val="-3"/>
          <w:sz w:val="24"/>
          <w:szCs w:val="24"/>
          <w:highlight w:val="none"/>
          <w:lang w:val="en-US" w:eastAsia="zh-CN"/>
        </w:rPr>
        <w:t>3:0</w:t>
      </w:r>
      <w:r>
        <w:rPr>
          <w:rFonts w:ascii="宋体" w:hAnsi="宋体" w:eastAsia="宋体" w:cs="宋体"/>
          <w:color w:val="auto"/>
          <w:spacing w:val="-3"/>
          <w:sz w:val="24"/>
          <w:szCs w:val="24"/>
          <w:highlight w:val="none"/>
        </w:rPr>
        <w:t>0，临时用餐等由采购人管理人员进行调整确</w:t>
      </w:r>
      <w:r>
        <w:rPr>
          <w:rFonts w:ascii="宋体" w:hAnsi="宋体" w:eastAsia="宋体" w:cs="宋体"/>
          <w:color w:val="auto"/>
          <w:spacing w:val="-13"/>
          <w:sz w:val="24"/>
          <w:szCs w:val="24"/>
          <w:highlight w:val="none"/>
        </w:rPr>
        <w:t>定。</w:t>
      </w:r>
    </w:p>
    <w:p w14:paraId="41A2D20D">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eastAsia="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2.4</w:t>
      </w:r>
      <w:r>
        <w:rPr>
          <w:rFonts w:hint="eastAsia" w:ascii="宋体" w:hAnsi="宋体" w:eastAsia="宋体" w:cs="Times New Roman"/>
          <w:b/>
          <w:bCs/>
          <w:color w:val="auto"/>
          <w:sz w:val="24"/>
          <w:szCs w:val="21"/>
          <w:highlight w:val="none"/>
          <w:lang w:val="en-US" w:eastAsia="zh-CN"/>
        </w:rPr>
        <w:t>入驻人员应遵守采购人安全卫生管理及工作行为规范要求。</w:t>
      </w:r>
    </w:p>
    <w:p w14:paraId="081DD4C7">
      <w:pPr>
        <w:keepNext w:val="0"/>
        <w:keepLines w:val="0"/>
        <w:pageBreakBefore w:val="0"/>
        <w:widowControl w:val="0"/>
        <w:kinsoku/>
        <w:wordWrap/>
        <w:overflowPunct/>
        <w:topLinePunct w:val="0"/>
        <w:autoSpaceDE/>
        <w:autoSpaceDN/>
        <w:bidi w:val="0"/>
        <w:adjustRightInd/>
        <w:snapToGrid/>
        <w:spacing w:before="151" w:line="360" w:lineRule="auto"/>
        <w:ind w:left="1906"/>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根据中华人民共和国《食品卫生法》要求，对分行食堂环境提出要求如下：</w:t>
      </w:r>
    </w:p>
    <w:p w14:paraId="45CAD92A">
      <w:pPr>
        <w:keepNext w:val="0"/>
        <w:keepLines w:val="0"/>
        <w:pageBreakBefore w:val="0"/>
        <w:widowControl w:val="0"/>
        <w:kinsoku/>
        <w:wordWrap/>
        <w:overflowPunct/>
        <w:topLinePunct w:val="0"/>
        <w:autoSpaceDE/>
        <w:autoSpaceDN/>
        <w:bidi w:val="0"/>
        <w:adjustRightInd/>
        <w:snapToGrid/>
        <w:spacing w:before="156" w:line="360" w:lineRule="auto"/>
        <w:ind w:left="1426" w:right="1154" w:firstLine="486"/>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（1）采取有效措施，清除卫生死角，添设防蝇设施，消除老鼠、蟑螂、苍蝇和其它</w:t>
      </w:r>
      <w:r>
        <w:rPr>
          <w:rFonts w:ascii="宋体" w:hAnsi="宋体" w:eastAsia="宋体" w:cs="宋体"/>
          <w:color w:val="auto"/>
          <w:spacing w:val="-4"/>
          <w:sz w:val="24"/>
          <w:szCs w:val="24"/>
          <w:highlight w:val="none"/>
        </w:rPr>
        <w:t>有害昆虫及其囊生条件。</w:t>
      </w:r>
    </w:p>
    <w:p w14:paraId="5F3ACE45">
      <w:pPr>
        <w:keepNext w:val="0"/>
        <w:keepLines w:val="0"/>
        <w:pageBreakBefore w:val="0"/>
        <w:widowControl w:val="0"/>
        <w:kinsoku/>
        <w:wordWrap/>
        <w:overflowPunct/>
        <w:topLinePunct w:val="0"/>
        <w:autoSpaceDE/>
        <w:autoSpaceDN/>
        <w:bidi w:val="0"/>
        <w:adjustRightInd/>
        <w:snapToGrid/>
        <w:spacing w:before="1" w:line="360" w:lineRule="auto"/>
        <w:ind w:left="1425" w:right="1043" w:firstLine="486"/>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（2）环境卫生坚持一餐一小扫，一天一中扫，一</w:t>
      </w:r>
      <w:r>
        <w:rPr>
          <w:rFonts w:ascii="宋体" w:hAnsi="宋体" w:eastAsia="宋体" w:cs="宋体"/>
          <w:color w:val="auto"/>
          <w:spacing w:val="-2"/>
          <w:sz w:val="24"/>
          <w:szCs w:val="24"/>
          <w:highlight w:val="none"/>
        </w:rPr>
        <w:t>周一大扫，划片块分工、包干负责。</w:t>
      </w:r>
      <w:r>
        <w:rPr>
          <w:rFonts w:ascii="宋体" w:hAnsi="宋体" w:eastAsia="宋体" w:cs="宋体"/>
          <w:color w:val="auto"/>
          <w:spacing w:val="-3"/>
          <w:sz w:val="24"/>
          <w:szCs w:val="24"/>
          <w:highlight w:val="none"/>
        </w:rPr>
        <w:t>做到墙角无蛛网，墙面无污迹，地面无灰尘。</w:t>
      </w:r>
    </w:p>
    <w:p w14:paraId="6B3CAC2B">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（3）按规定摆放所有设施，在保证使用方便的基础上，力求整齐美观。</w:t>
      </w:r>
    </w:p>
    <w:p w14:paraId="257E2274">
      <w:pPr>
        <w:keepNext w:val="0"/>
        <w:keepLines w:val="0"/>
        <w:pageBreakBefore w:val="0"/>
        <w:widowControl w:val="0"/>
        <w:kinsoku/>
        <w:wordWrap/>
        <w:overflowPunct/>
        <w:topLinePunct w:val="0"/>
        <w:autoSpaceDE/>
        <w:autoSpaceDN/>
        <w:bidi w:val="0"/>
        <w:adjustRightInd/>
        <w:snapToGrid/>
        <w:spacing w:before="151" w:line="360" w:lineRule="auto"/>
        <w:ind w:left="1428" w:right="1161" w:firstLine="48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（4）仓库要保持通风、阴凉、干燥。物品摆放应分类分架，离地、离</w:t>
      </w:r>
      <w:r>
        <w:rPr>
          <w:rFonts w:ascii="宋体" w:hAnsi="宋体" w:eastAsia="宋体" w:cs="宋体"/>
          <w:color w:val="auto"/>
          <w:spacing w:val="1"/>
          <w:sz w:val="24"/>
          <w:szCs w:val="24"/>
          <w:highlight w:val="none"/>
        </w:rPr>
        <w:t>墙，标有物品</w:t>
      </w:r>
      <w:r>
        <w:rPr>
          <w:rFonts w:ascii="宋体" w:hAnsi="宋体" w:eastAsia="宋体" w:cs="宋体"/>
          <w:color w:val="auto"/>
          <w:spacing w:val="-3"/>
          <w:sz w:val="24"/>
          <w:szCs w:val="24"/>
          <w:highlight w:val="none"/>
        </w:rPr>
        <w:t>名称标志。当日食品需按规定留样。</w:t>
      </w:r>
    </w:p>
    <w:p w14:paraId="7C54ED54">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eastAsia="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2.5</w:t>
      </w:r>
      <w:r>
        <w:rPr>
          <w:rFonts w:hint="eastAsia" w:ascii="宋体" w:hAnsi="宋体" w:eastAsia="宋体" w:cs="Times New Roman"/>
          <w:b/>
          <w:bCs/>
          <w:color w:val="auto"/>
          <w:sz w:val="24"/>
          <w:szCs w:val="21"/>
          <w:highlight w:val="none"/>
          <w:lang w:val="en-US" w:eastAsia="zh-CN"/>
        </w:rPr>
        <w:t>食堂设备要求：</w:t>
      </w:r>
    </w:p>
    <w:p w14:paraId="5DF68533">
      <w:pPr>
        <w:keepNext w:val="0"/>
        <w:keepLines w:val="0"/>
        <w:pageBreakBefore w:val="0"/>
        <w:widowControl w:val="0"/>
        <w:kinsoku/>
        <w:wordWrap/>
        <w:overflowPunct/>
        <w:topLinePunct w:val="0"/>
        <w:autoSpaceDE/>
        <w:autoSpaceDN/>
        <w:bidi w:val="0"/>
        <w:adjustRightInd/>
        <w:snapToGrid/>
        <w:spacing w:before="15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（1）各类设备在使用后都要擦抹干净，食品用具实</w:t>
      </w:r>
      <w:r>
        <w:rPr>
          <w:rFonts w:ascii="宋体" w:hAnsi="宋体" w:eastAsia="宋体" w:cs="宋体"/>
          <w:color w:val="auto"/>
          <w:spacing w:val="-2"/>
          <w:sz w:val="24"/>
          <w:szCs w:val="24"/>
          <w:highlight w:val="none"/>
        </w:rPr>
        <w:t>行四过关：一洗二刷三冲四消毒。</w:t>
      </w:r>
    </w:p>
    <w:p w14:paraId="0626AF7D">
      <w:pPr>
        <w:keepNext w:val="0"/>
        <w:keepLines w:val="0"/>
        <w:pageBreakBefore w:val="0"/>
        <w:widowControl w:val="0"/>
        <w:kinsoku/>
        <w:wordWrap/>
        <w:overflowPunct/>
        <w:topLinePunct w:val="0"/>
        <w:autoSpaceDE/>
        <w:autoSpaceDN/>
        <w:bidi w:val="0"/>
        <w:adjustRightInd/>
        <w:snapToGrid/>
        <w:spacing w:before="156"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（2）保洁柜等大的存放设备定时用消毒液擦洗消毒</w:t>
      </w:r>
      <w:r>
        <w:rPr>
          <w:rFonts w:ascii="宋体" w:hAnsi="宋体" w:eastAsia="宋体" w:cs="宋体"/>
          <w:color w:val="auto"/>
          <w:spacing w:val="-2"/>
          <w:sz w:val="24"/>
          <w:szCs w:val="24"/>
          <w:highlight w:val="none"/>
        </w:rPr>
        <w:t>，餐盘等小的餐具用蒸气消毒。</w:t>
      </w:r>
    </w:p>
    <w:p w14:paraId="282CF2D0">
      <w:pPr>
        <w:keepNext w:val="0"/>
        <w:keepLines w:val="0"/>
        <w:pageBreakBefore w:val="0"/>
        <w:widowControl w:val="0"/>
        <w:kinsoku/>
        <w:wordWrap/>
        <w:overflowPunct/>
        <w:topLinePunct w:val="0"/>
        <w:autoSpaceDE/>
        <w:autoSpaceDN/>
        <w:bidi w:val="0"/>
        <w:adjustRightInd/>
        <w:snapToGrid/>
        <w:spacing w:before="157"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（3）砧板、刀具使用后也要消毒再存放好。</w:t>
      </w:r>
    </w:p>
    <w:p w14:paraId="67880423">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eastAsia="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2.6</w:t>
      </w:r>
      <w:r>
        <w:rPr>
          <w:rFonts w:hint="eastAsia" w:ascii="宋体" w:hAnsi="宋体" w:eastAsia="宋体" w:cs="Times New Roman"/>
          <w:b/>
          <w:bCs/>
          <w:color w:val="auto"/>
          <w:sz w:val="24"/>
          <w:szCs w:val="21"/>
          <w:highlight w:val="none"/>
          <w:lang w:val="en-US" w:eastAsia="zh-CN"/>
        </w:rPr>
        <w:t>食品卫生安全要求：</w:t>
      </w:r>
    </w:p>
    <w:p w14:paraId="54644D5F">
      <w:pPr>
        <w:keepNext w:val="0"/>
        <w:keepLines w:val="0"/>
        <w:pageBreakBefore w:val="0"/>
        <w:widowControl w:val="0"/>
        <w:kinsoku/>
        <w:wordWrap/>
        <w:overflowPunct/>
        <w:topLinePunct w:val="0"/>
        <w:autoSpaceDE/>
        <w:autoSpaceDN/>
        <w:bidi w:val="0"/>
        <w:adjustRightInd/>
        <w:snapToGrid/>
        <w:spacing w:before="156" w:line="360" w:lineRule="auto"/>
        <w:ind w:left="1426" w:right="1147" w:firstLine="486"/>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（1）严格把好采购关。大宗食品采购时要签订协议并索取相关证件，拒进过期、变</w:t>
      </w:r>
      <w:r>
        <w:rPr>
          <w:rFonts w:ascii="宋体" w:hAnsi="宋体" w:eastAsia="宋体" w:cs="宋体"/>
          <w:color w:val="auto"/>
          <w:spacing w:val="-2"/>
          <w:sz w:val="24"/>
          <w:szCs w:val="24"/>
          <w:highlight w:val="none"/>
        </w:rPr>
        <w:t>质、有毒及其它不符合卫生标准和要求的食</w:t>
      </w:r>
      <w:r>
        <w:rPr>
          <w:rFonts w:ascii="宋体" w:hAnsi="宋体" w:eastAsia="宋体" w:cs="宋体"/>
          <w:color w:val="auto"/>
          <w:spacing w:val="-3"/>
          <w:sz w:val="24"/>
          <w:szCs w:val="24"/>
          <w:highlight w:val="none"/>
        </w:rPr>
        <w:t>品。</w:t>
      </w:r>
    </w:p>
    <w:p w14:paraId="7D83515B">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（2）清洗食品一定要彻底，并分池清洗，分框摆</w:t>
      </w:r>
      <w:r>
        <w:rPr>
          <w:rFonts w:ascii="宋体" w:hAnsi="宋体" w:eastAsia="宋体" w:cs="宋体"/>
          <w:color w:val="auto"/>
          <w:spacing w:val="-3"/>
          <w:sz w:val="24"/>
          <w:szCs w:val="24"/>
          <w:highlight w:val="none"/>
        </w:rPr>
        <w:t>放。</w:t>
      </w:r>
    </w:p>
    <w:p w14:paraId="61AEF353">
      <w:pPr>
        <w:keepNext w:val="0"/>
        <w:keepLines w:val="0"/>
        <w:pageBreakBefore w:val="0"/>
        <w:widowControl w:val="0"/>
        <w:kinsoku/>
        <w:wordWrap/>
        <w:overflowPunct/>
        <w:topLinePunct w:val="0"/>
        <w:autoSpaceDE/>
        <w:autoSpaceDN/>
        <w:bidi w:val="0"/>
        <w:adjustRightInd/>
        <w:snapToGrid/>
        <w:spacing w:before="155"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（3）加工用具要经过消毒。</w:t>
      </w:r>
    </w:p>
    <w:p w14:paraId="56CCAE55">
      <w:pPr>
        <w:keepNext w:val="0"/>
        <w:keepLines w:val="0"/>
        <w:pageBreakBefore w:val="0"/>
        <w:widowControl w:val="0"/>
        <w:kinsoku/>
        <w:wordWrap/>
        <w:overflowPunct/>
        <w:topLinePunct w:val="0"/>
        <w:autoSpaceDE/>
        <w:autoSpaceDN/>
        <w:bidi w:val="0"/>
        <w:adjustRightInd/>
        <w:snapToGrid/>
        <w:spacing w:before="15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（4）加工食品必须做到熟透，大块食品中心温度不低于70</w:t>
      </w:r>
      <w:r>
        <w:rPr>
          <w:rFonts w:ascii="宋体" w:hAnsi="宋体" w:eastAsia="宋体" w:cs="宋体"/>
          <w:color w:val="auto"/>
          <w:spacing w:val="-52"/>
          <w:sz w:val="24"/>
          <w:szCs w:val="24"/>
          <w:highlight w:val="none"/>
        </w:rPr>
        <w:t xml:space="preserve"> </w:t>
      </w:r>
      <w:r>
        <w:rPr>
          <w:rFonts w:ascii="宋体" w:hAnsi="宋体" w:eastAsia="宋体" w:cs="宋体"/>
          <w:color w:val="auto"/>
          <w:spacing w:val="-3"/>
          <w:sz w:val="24"/>
          <w:szCs w:val="24"/>
          <w:highlight w:val="none"/>
        </w:rPr>
        <w:t>摄氏度。</w:t>
      </w:r>
    </w:p>
    <w:p w14:paraId="51B057D6">
      <w:pPr>
        <w:keepNext w:val="0"/>
        <w:keepLines w:val="0"/>
        <w:pageBreakBefore w:val="0"/>
        <w:widowControl w:val="0"/>
        <w:kinsoku/>
        <w:wordWrap/>
        <w:overflowPunct/>
        <w:topLinePunct w:val="0"/>
        <w:autoSpaceDE/>
        <w:autoSpaceDN/>
        <w:bidi w:val="0"/>
        <w:adjustRightInd/>
        <w:snapToGrid/>
        <w:spacing w:before="156"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（5）存放生、熟及半成品食物时均应分桶、分柜。</w:t>
      </w:r>
    </w:p>
    <w:p w14:paraId="7BFFCB16">
      <w:pPr>
        <w:keepNext w:val="0"/>
        <w:keepLines w:val="0"/>
        <w:pageBreakBefore w:val="0"/>
        <w:widowControl w:val="0"/>
        <w:kinsoku/>
        <w:wordWrap/>
        <w:overflowPunct/>
        <w:topLinePunct w:val="0"/>
        <w:autoSpaceDE/>
        <w:autoSpaceDN/>
        <w:bidi w:val="0"/>
        <w:adjustRightInd/>
        <w:snapToGrid/>
        <w:spacing w:before="156"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（6）所有公共餐具每日进行消毒。</w:t>
      </w:r>
    </w:p>
    <w:p w14:paraId="2C1B844B">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eastAsia="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2.7.</w:t>
      </w:r>
      <w:r>
        <w:rPr>
          <w:rFonts w:hint="eastAsia" w:ascii="宋体" w:hAnsi="宋体" w:eastAsia="宋体" w:cs="Times New Roman"/>
          <w:b/>
          <w:bCs/>
          <w:color w:val="auto"/>
          <w:sz w:val="24"/>
          <w:szCs w:val="21"/>
          <w:highlight w:val="none"/>
          <w:lang w:val="en-US" w:eastAsia="zh-CN"/>
        </w:rPr>
        <w:t>监督管理要求：</w:t>
      </w:r>
    </w:p>
    <w:p w14:paraId="30CE7C08">
      <w:pPr>
        <w:keepNext w:val="0"/>
        <w:keepLines w:val="0"/>
        <w:pageBreakBefore w:val="0"/>
        <w:widowControl w:val="0"/>
        <w:kinsoku/>
        <w:wordWrap/>
        <w:overflowPunct/>
        <w:topLinePunct w:val="0"/>
        <w:autoSpaceDE/>
        <w:autoSpaceDN/>
        <w:bidi w:val="0"/>
        <w:adjustRightInd/>
        <w:snapToGrid/>
        <w:spacing w:before="156"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（1）办公室（后勤服务中心）管理人员负责对食堂进行管理、监督。</w:t>
      </w:r>
    </w:p>
    <w:p w14:paraId="3ECC67FD">
      <w:pPr>
        <w:keepNext w:val="0"/>
        <w:keepLines w:val="0"/>
        <w:pageBreakBefore w:val="0"/>
        <w:widowControl w:val="0"/>
        <w:kinsoku/>
        <w:wordWrap/>
        <w:overflowPunct/>
        <w:topLinePunct w:val="0"/>
        <w:autoSpaceDE/>
        <w:autoSpaceDN/>
        <w:bidi w:val="0"/>
        <w:adjustRightInd/>
        <w:snapToGrid/>
        <w:spacing w:before="157"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（2）严禁非食堂人员随意进入食堂，防止交叉污染事件的发生。</w:t>
      </w:r>
    </w:p>
    <w:p w14:paraId="71C2249B">
      <w:pPr>
        <w:keepNext w:val="0"/>
        <w:keepLines w:val="0"/>
        <w:pageBreakBefore w:val="0"/>
        <w:widowControl w:val="0"/>
        <w:kinsoku/>
        <w:wordWrap/>
        <w:overflowPunct/>
        <w:topLinePunct w:val="0"/>
        <w:autoSpaceDE/>
        <w:autoSpaceDN/>
        <w:bidi w:val="0"/>
        <w:adjustRightInd/>
        <w:snapToGrid/>
        <w:spacing w:before="78" w:line="360" w:lineRule="auto"/>
        <w:ind w:left="1445" w:right="1137" w:firstLine="467"/>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（3）定时对食堂职工进行职业道德和法制</w:t>
      </w:r>
      <w:r>
        <w:rPr>
          <w:rFonts w:ascii="宋体" w:hAnsi="宋体" w:eastAsia="宋体" w:cs="宋体"/>
          <w:color w:val="auto"/>
          <w:spacing w:val="2"/>
          <w:sz w:val="24"/>
          <w:szCs w:val="24"/>
          <w:highlight w:val="none"/>
        </w:rPr>
        <w:t>教育，并安排一定时间进行食品卫生知识</w:t>
      </w:r>
      <w:r>
        <w:rPr>
          <w:rFonts w:ascii="宋体" w:hAnsi="宋体" w:eastAsia="宋体" w:cs="宋体"/>
          <w:color w:val="auto"/>
          <w:spacing w:val="-12"/>
          <w:sz w:val="24"/>
          <w:szCs w:val="24"/>
          <w:highlight w:val="none"/>
        </w:rPr>
        <w:t>的培训。</w:t>
      </w:r>
    </w:p>
    <w:p w14:paraId="33FDFF2A">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（4）后勤不定期对食堂卫生进行监督、检查，</w:t>
      </w:r>
      <w:r>
        <w:rPr>
          <w:rFonts w:ascii="宋体" w:hAnsi="宋体" w:eastAsia="宋体" w:cs="宋体"/>
          <w:color w:val="auto"/>
          <w:spacing w:val="-2"/>
          <w:sz w:val="24"/>
          <w:szCs w:val="24"/>
          <w:highlight w:val="none"/>
        </w:rPr>
        <w:t>发现不符合要求的及时责令整改。</w:t>
      </w:r>
    </w:p>
    <w:p w14:paraId="264D6A54">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eastAsia="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2.8</w:t>
      </w:r>
      <w:r>
        <w:rPr>
          <w:rFonts w:hint="eastAsia" w:ascii="宋体" w:hAnsi="宋体" w:eastAsia="宋体" w:cs="Times New Roman"/>
          <w:b/>
          <w:bCs/>
          <w:color w:val="auto"/>
          <w:sz w:val="24"/>
          <w:szCs w:val="21"/>
          <w:highlight w:val="none"/>
          <w:lang w:val="en-US" w:eastAsia="zh-CN"/>
        </w:rPr>
        <w:t>食堂职工个人卫生管理</w:t>
      </w:r>
    </w:p>
    <w:p w14:paraId="7033B54D">
      <w:pPr>
        <w:keepNext w:val="0"/>
        <w:keepLines w:val="0"/>
        <w:pageBreakBefore w:val="0"/>
        <w:widowControl w:val="0"/>
        <w:kinsoku/>
        <w:wordWrap/>
        <w:overflowPunct/>
        <w:topLinePunct w:val="0"/>
        <w:autoSpaceDE/>
        <w:autoSpaceDN/>
        <w:bidi w:val="0"/>
        <w:adjustRightInd/>
        <w:snapToGrid/>
        <w:spacing w:before="151" w:line="360" w:lineRule="auto"/>
        <w:ind w:left="1424" w:right="1146" w:firstLine="487"/>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（1）为保障员工饮食安全，杜绝食源性事故发生，应作好健康检查和培训，取得健</w:t>
      </w:r>
      <w:r>
        <w:rPr>
          <w:rFonts w:ascii="宋体" w:hAnsi="宋体" w:eastAsia="宋体" w:cs="宋体"/>
          <w:color w:val="auto"/>
          <w:spacing w:val="-3"/>
          <w:sz w:val="24"/>
          <w:szCs w:val="24"/>
          <w:highlight w:val="none"/>
        </w:rPr>
        <w:t>康证明和培训合格后方可上岗。</w:t>
      </w:r>
    </w:p>
    <w:p w14:paraId="304AF620">
      <w:pPr>
        <w:keepNext w:val="0"/>
        <w:keepLines w:val="0"/>
        <w:pageBreakBefore w:val="0"/>
        <w:widowControl w:val="0"/>
        <w:kinsoku/>
        <w:wordWrap/>
        <w:overflowPunct/>
        <w:topLinePunct w:val="0"/>
        <w:autoSpaceDE/>
        <w:autoSpaceDN/>
        <w:bidi w:val="0"/>
        <w:adjustRightInd/>
        <w:snapToGrid/>
        <w:spacing w:before="1" w:line="360" w:lineRule="auto"/>
        <w:ind w:left="1425" w:right="1063" w:firstLine="486"/>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（2）养成良好的个人卫生习惯，坚持做好“勤洗手剪指甲、勤洗澡理发、勤洗衣服，</w:t>
      </w:r>
      <w:r>
        <w:rPr>
          <w:rFonts w:ascii="宋体" w:hAnsi="宋体" w:eastAsia="宋体" w:cs="宋体"/>
          <w:color w:val="auto"/>
          <w:spacing w:val="-4"/>
          <w:sz w:val="24"/>
          <w:szCs w:val="24"/>
          <w:highlight w:val="none"/>
        </w:rPr>
        <w:t>被褥、勤洗换工作衣帽”。</w:t>
      </w:r>
    </w:p>
    <w:p w14:paraId="2EBF0621">
      <w:pPr>
        <w:keepNext w:val="0"/>
        <w:keepLines w:val="0"/>
        <w:pageBreakBefore w:val="0"/>
        <w:widowControl w:val="0"/>
        <w:kinsoku/>
        <w:wordWrap/>
        <w:overflowPunct/>
        <w:topLinePunct w:val="0"/>
        <w:autoSpaceDE/>
        <w:autoSpaceDN/>
        <w:bidi w:val="0"/>
        <w:adjustRightInd/>
        <w:snapToGrid/>
        <w:spacing w:line="360" w:lineRule="auto"/>
        <w:ind w:left="1427" w:right="1161" w:firstLine="485"/>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（3）工作前、处理食品原料后、便后均用肥皂及流动清洗洗手，接触</w:t>
      </w:r>
      <w:r>
        <w:rPr>
          <w:rFonts w:ascii="宋体" w:hAnsi="宋体" w:eastAsia="宋体" w:cs="宋体"/>
          <w:color w:val="auto"/>
          <w:spacing w:val="1"/>
          <w:sz w:val="24"/>
          <w:szCs w:val="24"/>
          <w:highlight w:val="none"/>
        </w:rPr>
        <w:t>直接入口食品</w:t>
      </w:r>
      <w:r>
        <w:rPr>
          <w:rFonts w:ascii="宋体" w:hAnsi="宋体" w:eastAsia="宋体" w:cs="宋体"/>
          <w:color w:val="auto"/>
          <w:spacing w:val="-6"/>
          <w:sz w:val="24"/>
          <w:szCs w:val="24"/>
          <w:highlight w:val="none"/>
        </w:rPr>
        <w:t>之前先洗手消毒。</w:t>
      </w:r>
    </w:p>
    <w:p w14:paraId="5C833AFF">
      <w:pPr>
        <w:keepNext w:val="0"/>
        <w:keepLines w:val="0"/>
        <w:pageBreakBefore w:val="0"/>
        <w:widowControl w:val="0"/>
        <w:kinsoku/>
        <w:wordWrap/>
        <w:overflowPunct/>
        <w:topLinePunct w:val="0"/>
        <w:autoSpaceDE/>
        <w:autoSpaceDN/>
        <w:bidi w:val="0"/>
        <w:adjustRightInd/>
        <w:snapToGrid/>
        <w:spacing w:before="2" w:line="360" w:lineRule="auto"/>
        <w:ind w:left="1425" w:right="1147" w:firstLine="486"/>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（4）在操作间内必须穿戴清洁的工作衣帽，并把头发置于帽内，分装主、副食时戴</w:t>
      </w:r>
      <w:r>
        <w:rPr>
          <w:rFonts w:ascii="宋体" w:hAnsi="宋体" w:eastAsia="宋体" w:cs="宋体"/>
          <w:color w:val="auto"/>
          <w:spacing w:val="-9"/>
          <w:sz w:val="24"/>
          <w:szCs w:val="24"/>
          <w:highlight w:val="none"/>
        </w:rPr>
        <w:t>好口罩。</w:t>
      </w:r>
    </w:p>
    <w:p w14:paraId="6164C9F8">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（5）不得在食品加工和销售区内吸烟，不</w:t>
      </w:r>
      <w:r>
        <w:rPr>
          <w:rFonts w:ascii="宋体" w:hAnsi="宋体" w:eastAsia="宋体" w:cs="宋体"/>
          <w:color w:val="auto"/>
          <w:spacing w:val="-2"/>
          <w:sz w:val="24"/>
          <w:szCs w:val="24"/>
          <w:highlight w:val="none"/>
        </w:rPr>
        <w:t>留长指甲，不涂指甲油，不戴戒指。</w:t>
      </w:r>
    </w:p>
    <w:p w14:paraId="79253496">
      <w:pPr>
        <w:keepNext w:val="0"/>
        <w:keepLines w:val="0"/>
        <w:pageBreakBefore w:val="0"/>
        <w:widowControl w:val="0"/>
        <w:kinsoku/>
        <w:wordWrap/>
        <w:overflowPunct/>
        <w:topLinePunct w:val="0"/>
        <w:autoSpaceDE/>
        <w:autoSpaceDN/>
        <w:bidi w:val="0"/>
        <w:adjustRightInd/>
        <w:snapToGrid/>
        <w:spacing w:before="151" w:line="360" w:lineRule="auto"/>
        <w:ind w:left="1428" w:right="1147" w:firstLine="48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（6）在离开食堂或进入厕所前必须脱下工作衣帽，在外出回来时必须洗手消毒穿戴</w:t>
      </w:r>
      <w:r>
        <w:rPr>
          <w:rFonts w:ascii="宋体" w:hAnsi="宋体" w:eastAsia="宋体" w:cs="宋体"/>
          <w:color w:val="auto"/>
          <w:spacing w:val="-4"/>
          <w:sz w:val="24"/>
          <w:szCs w:val="24"/>
          <w:highlight w:val="none"/>
        </w:rPr>
        <w:t>工作衣帽方可进入食堂操作间。</w:t>
      </w:r>
    </w:p>
    <w:p w14:paraId="5F99950C">
      <w:pPr>
        <w:keepNext w:val="0"/>
        <w:keepLines w:val="0"/>
        <w:pageBreakBefore w:val="0"/>
        <w:widowControl w:val="0"/>
        <w:kinsoku/>
        <w:wordWrap/>
        <w:overflowPunct/>
        <w:topLinePunct w:val="0"/>
        <w:autoSpaceDE/>
        <w:autoSpaceDN/>
        <w:bidi w:val="0"/>
        <w:adjustRightInd/>
        <w:snapToGrid/>
        <w:spacing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（7）不得面对食品打喷嚏、咳嗽及其他有碍食品卫生的行为。</w:t>
      </w:r>
    </w:p>
    <w:p w14:paraId="6D3616EF">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2.9 食品（食材）、粮油等采购、验收管理；食材由中标人负责采购，月度结算。</w:t>
      </w:r>
    </w:p>
    <w:p w14:paraId="5159AE70">
      <w:pPr>
        <w:keepNext w:val="0"/>
        <w:keepLines w:val="0"/>
        <w:pageBreakBefore w:val="0"/>
        <w:widowControl w:val="0"/>
        <w:kinsoku/>
        <w:wordWrap/>
        <w:overflowPunct/>
        <w:topLinePunct w:val="0"/>
        <w:autoSpaceDE/>
        <w:autoSpaceDN/>
        <w:bidi w:val="0"/>
        <w:adjustRightInd/>
        <w:snapToGrid/>
        <w:spacing w:before="158" w:line="360" w:lineRule="auto"/>
        <w:ind w:left="1428" w:right="1137" w:firstLine="48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（1）购进食材必须逐项提供采购明细，包括品种、数量、价格、日期。食材需留案</w:t>
      </w:r>
      <w:r>
        <w:rPr>
          <w:rFonts w:ascii="宋体" w:hAnsi="宋体" w:eastAsia="宋体" w:cs="宋体"/>
          <w:color w:val="auto"/>
          <w:spacing w:val="-11"/>
          <w:sz w:val="24"/>
          <w:szCs w:val="24"/>
          <w:highlight w:val="none"/>
        </w:rPr>
        <w:t>备查。</w:t>
      </w:r>
    </w:p>
    <w:p w14:paraId="257F184E">
      <w:pPr>
        <w:keepNext w:val="0"/>
        <w:keepLines w:val="0"/>
        <w:pageBreakBefore w:val="0"/>
        <w:widowControl w:val="0"/>
        <w:kinsoku/>
        <w:wordWrap/>
        <w:overflowPunct/>
        <w:topLinePunct w:val="0"/>
        <w:autoSpaceDE/>
        <w:autoSpaceDN/>
        <w:bidi w:val="0"/>
        <w:adjustRightInd/>
        <w:snapToGrid/>
        <w:spacing w:before="1" w:line="360" w:lineRule="auto"/>
        <w:ind w:left="1423" w:right="1132" w:firstLine="487"/>
        <w:textAlignment w:val="auto"/>
        <w:rPr>
          <w:rFonts w:ascii="宋体" w:hAnsi="宋体" w:eastAsia="宋体" w:cs="宋体"/>
          <w:color w:val="auto"/>
          <w:sz w:val="24"/>
          <w:szCs w:val="24"/>
          <w:highlight w:val="none"/>
        </w:rPr>
      </w:pPr>
      <w:r>
        <w:rPr>
          <w:rFonts w:ascii="宋体" w:hAnsi="宋体" w:eastAsia="宋体" w:cs="宋体"/>
          <w:color w:val="auto"/>
          <w:spacing w:val="5"/>
          <w:sz w:val="21"/>
          <w:szCs w:val="21"/>
          <w:highlight w:val="none"/>
        </w:rPr>
        <w:t>（</w:t>
      </w:r>
      <w:r>
        <w:rPr>
          <w:rFonts w:ascii="Times New Roman" w:hAnsi="Times New Roman" w:eastAsia="Times New Roman" w:cs="Times New Roman"/>
          <w:color w:val="auto"/>
          <w:spacing w:val="5"/>
          <w:sz w:val="21"/>
          <w:szCs w:val="21"/>
          <w:highlight w:val="none"/>
        </w:rPr>
        <w:t>2</w:t>
      </w:r>
      <w:r>
        <w:rPr>
          <w:rFonts w:ascii="宋体" w:hAnsi="宋体" w:eastAsia="宋体" w:cs="宋体"/>
          <w:color w:val="auto"/>
          <w:spacing w:val="5"/>
          <w:sz w:val="21"/>
          <w:szCs w:val="21"/>
          <w:highlight w:val="none"/>
        </w:rPr>
        <w:t>）</w:t>
      </w:r>
      <w:r>
        <w:rPr>
          <w:rFonts w:ascii="宋体" w:hAnsi="宋体" w:eastAsia="宋体" w:cs="宋体"/>
          <w:color w:val="auto"/>
          <w:spacing w:val="5"/>
          <w:sz w:val="24"/>
          <w:szCs w:val="24"/>
          <w:highlight w:val="none"/>
        </w:rPr>
        <w:t>采购人每天有权对中标人提供的食材价</w:t>
      </w:r>
      <w:r>
        <w:rPr>
          <w:rFonts w:ascii="宋体" w:hAnsi="宋体" w:eastAsia="宋体" w:cs="宋体"/>
          <w:color w:val="auto"/>
          <w:spacing w:val="4"/>
          <w:sz w:val="24"/>
          <w:szCs w:val="24"/>
          <w:highlight w:val="none"/>
        </w:rPr>
        <w:t>格和数量进行检查，对达不到采购标准</w:t>
      </w:r>
      <w:r>
        <w:rPr>
          <w:rFonts w:ascii="宋体" w:hAnsi="宋体" w:eastAsia="宋体" w:cs="宋体"/>
          <w:color w:val="auto"/>
          <w:sz w:val="24"/>
          <w:szCs w:val="24"/>
          <w:highlight w:val="none"/>
        </w:rPr>
        <w:t>的，进行警告并更换，在合同期内中标人累计达到三次或</w:t>
      </w:r>
      <w:r>
        <w:rPr>
          <w:rFonts w:ascii="宋体" w:hAnsi="宋体" w:eastAsia="宋体" w:cs="宋体"/>
          <w:color w:val="auto"/>
          <w:spacing w:val="-1"/>
          <w:sz w:val="24"/>
          <w:szCs w:val="24"/>
          <w:highlight w:val="none"/>
        </w:rPr>
        <w:t>以上出现上述问题不整改的，采</w:t>
      </w:r>
      <w:r>
        <w:rPr>
          <w:rFonts w:ascii="宋体" w:hAnsi="宋体" w:eastAsia="宋体" w:cs="宋体"/>
          <w:color w:val="auto"/>
          <w:spacing w:val="-4"/>
          <w:sz w:val="24"/>
          <w:szCs w:val="24"/>
          <w:highlight w:val="none"/>
        </w:rPr>
        <w:t>购人有权提前终止合同。</w:t>
      </w:r>
    </w:p>
    <w:p w14:paraId="1463F8E5">
      <w:pPr>
        <w:keepNext w:val="0"/>
        <w:keepLines w:val="0"/>
        <w:pageBreakBefore w:val="0"/>
        <w:widowControl w:val="0"/>
        <w:kinsoku/>
        <w:wordWrap/>
        <w:overflowPunct/>
        <w:topLinePunct w:val="0"/>
        <w:autoSpaceDE/>
        <w:autoSpaceDN/>
        <w:bidi w:val="0"/>
        <w:adjustRightInd/>
        <w:snapToGrid/>
        <w:spacing w:before="3" w:line="360" w:lineRule="auto"/>
        <w:ind w:left="1449" w:right="1156" w:firstLine="463"/>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（3）必须到持有卫生许可证和有营业执照及质检合格的经营单位采购食物，并按照</w:t>
      </w:r>
      <w:r>
        <w:rPr>
          <w:rFonts w:ascii="宋体" w:hAnsi="宋体" w:eastAsia="宋体" w:cs="宋体"/>
          <w:color w:val="auto"/>
          <w:spacing w:val="-6"/>
          <w:sz w:val="24"/>
          <w:szCs w:val="24"/>
          <w:highlight w:val="none"/>
        </w:rPr>
        <w:t>国家有关规定进行索证。</w:t>
      </w:r>
    </w:p>
    <w:p w14:paraId="50907B55">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（4）固定食品采购的场所，同时也要掌握定点</w:t>
      </w:r>
      <w:r>
        <w:rPr>
          <w:rFonts w:ascii="宋体" w:hAnsi="宋体" w:eastAsia="宋体" w:cs="宋体"/>
          <w:color w:val="auto"/>
          <w:spacing w:val="-2"/>
          <w:sz w:val="24"/>
          <w:szCs w:val="24"/>
          <w:highlight w:val="none"/>
        </w:rPr>
        <w:t>与不定点的原则，关注市场行情。</w:t>
      </w:r>
    </w:p>
    <w:p w14:paraId="7A832765">
      <w:pPr>
        <w:keepNext w:val="0"/>
        <w:keepLines w:val="0"/>
        <w:pageBreakBefore w:val="0"/>
        <w:widowControl w:val="0"/>
        <w:kinsoku/>
        <w:wordWrap/>
        <w:overflowPunct/>
        <w:topLinePunct w:val="0"/>
        <w:autoSpaceDE/>
        <w:autoSpaceDN/>
        <w:bidi w:val="0"/>
        <w:adjustRightInd/>
        <w:snapToGrid/>
        <w:spacing w:before="152"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（5）采购的食品必须符合国家有关卫生标准与规定</w:t>
      </w:r>
      <w:r>
        <w:rPr>
          <w:rFonts w:ascii="宋体" w:hAnsi="宋体" w:eastAsia="宋体" w:cs="宋体"/>
          <w:color w:val="auto"/>
          <w:spacing w:val="-2"/>
          <w:sz w:val="24"/>
          <w:szCs w:val="24"/>
          <w:highlight w:val="none"/>
        </w:rPr>
        <w:t>，必须新鲜、卫生、清洁。</w:t>
      </w:r>
    </w:p>
    <w:p w14:paraId="1392BFE6">
      <w:pPr>
        <w:keepNext w:val="0"/>
        <w:keepLines w:val="0"/>
        <w:pageBreakBefore w:val="0"/>
        <w:widowControl w:val="0"/>
        <w:kinsoku/>
        <w:wordWrap/>
        <w:overflowPunct/>
        <w:topLinePunct w:val="0"/>
        <w:autoSpaceDE/>
        <w:autoSpaceDN/>
        <w:bidi w:val="0"/>
        <w:adjustRightInd/>
        <w:snapToGrid/>
        <w:spacing w:before="157" w:line="360" w:lineRule="auto"/>
        <w:ind w:left="1454" w:right="1152" w:firstLine="457"/>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（6）食堂货物入库必须按品种、生熟分类放置，不得随意摆放，确保物品在保质期</w:t>
      </w:r>
      <w:r>
        <w:rPr>
          <w:rFonts w:ascii="宋体" w:hAnsi="宋体" w:eastAsia="宋体" w:cs="宋体"/>
          <w:color w:val="auto"/>
          <w:spacing w:val="-14"/>
          <w:sz w:val="24"/>
          <w:szCs w:val="24"/>
          <w:highlight w:val="none"/>
        </w:rPr>
        <w:t>内加工。</w:t>
      </w:r>
    </w:p>
    <w:p w14:paraId="5C3D1F5C">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（7）严禁采购以下食物：</w:t>
      </w:r>
    </w:p>
    <w:p w14:paraId="688D1E05">
      <w:pPr>
        <w:keepNext w:val="0"/>
        <w:keepLines w:val="0"/>
        <w:pageBreakBefore w:val="0"/>
        <w:widowControl w:val="0"/>
        <w:kinsoku/>
        <w:wordWrap/>
        <w:overflowPunct/>
        <w:topLinePunct w:val="0"/>
        <w:autoSpaceDE/>
        <w:autoSpaceDN/>
        <w:bidi w:val="0"/>
        <w:adjustRightInd/>
        <w:snapToGrid/>
        <w:spacing w:before="157" w:line="360" w:lineRule="auto"/>
        <w:ind w:left="1425" w:right="1190" w:firstLine="498"/>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1）腐败变质、油脂酸败、霉变、生虫、污秽不洁，混有异物或</w:t>
      </w:r>
      <w:r>
        <w:rPr>
          <w:rFonts w:ascii="宋体" w:hAnsi="宋体" w:eastAsia="宋体" w:cs="宋体"/>
          <w:color w:val="auto"/>
          <w:sz w:val="24"/>
          <w:szCs w:val="24"/>
          <w:highlight w:val="none"/>
        </w:rPr>
        <w:t>其他感官性状异常，</w:t>
      </w:r>
      <w:r>
        <w:rPr>
          <w:rFonts w:ascii="宋体" w:hAnsi="宋体" w:eastAsia="宋体" w:cs="宋体"/>
          <w:color w:val="auto"/>
          <w:spacing w:val="-2"/>
          <w:sz w:val="24"/>
          <w:szCs w:val="24"/>
          <w:highlight w:val="none"/>
        </w:rPr>
        <w:t>含有毒、有害物质或被有毒物质污染，可能对人体健康有害的食品。</w:t>
      </w:r>
    </w:p>
    <w:p w14:paraId="1099ADE5">
      <w:pPr>
        <w:keepNext w:val="0"/>
        <w:keepLines w:val="0"/>
        <w:pageBreakBefore w:val="0"/>
        <w:widowControl w:val="0"/>
        <w:kinsoku/>
        <w:wordWrap/>
        <w:overflowPunct/>
        <w:topLinePunct w:val="0"/>
        <w:autoSpaceDE/>
        <w:autoSpaceDN/>
        <w:bidi w:val="0"/>
        <w:adjustRightInd/>
        <w:snapToGrid/>
        <w:spacing w:before="78" w:line="360" w:lineRule="auto"/>
        <w:ind w:left="1909"/>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2）未经生猪产品卫生检验不合格的肉类及</w:t>
      </w:r>
      <w:r>
        <w:rPr>
          <w:rFonts w:ascii="宋体" w:hAnsi="宋体" w:eastAsia="宋体" w:cs="宋体"/>
          <w:color w:val="auto"/>
          <w:spacing w:val="-3"/>
          <w:sz w:val="24"/>
          <w:szCs w:val="24"/>
          <w:highlight w:val="none"/>
        </w:rPr>
        <w:t>制品。</w:t>
      </w:r>
    </w:p>
    <w:p w14:paraId="6A2713F8">
      <w:pPr>
        <w:keepNext w:val="0"/>
        <w:keepLines w:val="0"/>
        <w:pageBreakBefore w:val="0"/>
        <w:widowControl w:val="0"/>
        <w:kinsoku/>
        <w:wordWrap/>
        <w:overflowPunct/>
        <w:topLinePunct w:val="0"/>
        <w:autoSpaceDE/>
        <w:autoSpaceDN/>
        <w:bidi w:val="0"/>
        <w:adjustRightInd/>
        <w:snapToGrid/>
        <w:spacing w:before="150" w:line="360" w:lineRule="auto"/>
        <w:ind w:left="1911"/>
        <w:textAlignment w:val="auto"/>
        <w:rPr>
          <w:rFonts w:ascii="宋体" w:hAnsi="宋体" w:eastAsia="宋体" w:cs="宋体"/>
          <w:color w:val="auto"/>
          <w:spacing w:val="-3"/>
          <w:sz w:val="24"/>
          <w:szCs w:val="24"/>
          <w:highlight w:val="none"/>
        </w:rPr>
      </w:pPr>
      <w:r>
        <w:rPr>
          <w:rFonts w:ascii="宋体" w:hAnsi="宋体" w:eastAsia="宋体" w:cs="宋体"/>
          <w:color w:val="auto"/>
          <w:spacing w:val="-2"/>
          <w:sz w:val="24"/>
          <w:szCs w:val="24"/>
          <w:highlight w:val="none"/>
        </w:rPr>
        <w:t>3）超过保质期或不符合食品标签的定型包装</w:t>
      </w:r>
      <w:r>
        <w:rPr>
          <w:rFonts w:ascii="宋体" w:hAnsi="宋体" w:eastAsia="宋体" w:cs="宋体"/>
          <w:color w:val="auto"/>
          <w:spacing w:val="-3"/>
          <w:sz w:val="24"/>
          <w:szCs w:val="24"/>
          <w:highlight w:val="none"/>
        </w:rPr>
        <w:t>食品。</w:t>
      </w:r>
    </w:p>
    <w:p w14:paraId="21C38A16">
      <w:pPr>
        <w:keepNext w:val="0"/>
        <w:keepLines w:val="0"/>
        <w:pageBreakBefore w:val="0"/>
        <w:widowControl w:val="0"/>
        <w:kinsoku/>
        <w:wordWrap/>
        <w:overflowPunct/>
        <w:topLinePunct w:val="0"/>
        <w:autoSpaceDE/>
        <w:autoSpaceDN/>
        <w:bidi w:val="0"/>
        <w:adjustRightInd/>
        <w:snapToGrid/>
        <w:spacing w:before="150" w:line="360" w:lineRule="auto"/>
        <w:ind w:left="1911"/>
        <w:textAlignment w:val="auto"/>
        <w:rPr>
          <w:rFonts w:hint="default" w:ascii="宋体" w:hAnsi="宋体" w:eastAsia="宋体" w:cs="宋体"/>
          <w:color w:val="auto"/>
          <w:spacing w:val="-3"/>
          <w:sz w:val="24"/>
          <w:szCs w:val="24"/>
          <w:highlight w:val="none"/>
          <w:lang w:val="en-US" w:eastAsia="zh-CN"/>
        </w:rPr>
      </w:pPr>
      <w:r>
        <w:rPr>
          <w:rFonts w:ascii="宋体" w:hAnsi="宋体" w:eastAsia="宋体" w:cs="宋体"/>
          <w:color w:val="auto"/>
          <w:spacing w:val="-2"/>
          <w:sz w:val="24"/>
          <w:szCs w:val="24"/>
          <w:highlight w:val="none"/>
        </w:rPr>
        <w:t>4）</w:t>
      </w:r>
      <w:r>
        <w:rPr>
          <w:rFonts w:hint="eastAsia" w:ascii="宋体" w:hAnsi="宋体" w:cs="宋体"/>
          <w:color w:val="auto"/>
          <w:spacing w:val="-2"/>
          <w:sz w:val="24"/>
          <w:szCs w:val="24"/>
          <w:highlight w:val="none"/>
          <w:lang w:val="en-US" w:eastAsia="zh-CN"/>
        </w:rPr>
        <w:t>不得使用预制菜品。</w:t>
      </w:r>
    </w:p>
    <w:p w14:paraId="4F3A30AC">
      <w:pPr>
        <w:keepNext w:val="0"/>
        <w:keepLines w:val="0"/>
        <w:pageBreakBefore w:val="0"/>
        <w:widowControl w:val="0"/>
        <w:kinsoku/>
        <w:wordWrap/>
        <w:overflowPunct/>
        <w:topLinePunct w:val="0"/>
        <w:autoSpaceDE/>
        <w:autoSpaceDN/>
        <w:bidi w:val="0"/>
        <w:adjustRightInd/>
        <w:snapToGrid/>
        <w:spacing w:before="156" w:line="360" w:lineRule="auto"/>
        <w:ind w:left="1905"/>
        <w:textAlignment w:val="auto"/>
        <w:rPr>
          <w:rFonts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5</w:t>
      </w:r>
      <w:r>
        <w:rPr>
          <w:rFonts w:ascii="宋体" w:hAnsi="宋体" w:eastAsia="宋体" w:cs="宋体"/>
          <w:color w:val="auto"/>
          <w:spacing w:val="-2"/>
          <w:sz w:val="24"/>
          <w:szCs w:val="24"/>
          <w:highlight w:val="none"/>
        </w:rPr>
        <w:t>）其他不符合食品卫生标准和要求的食品，包括半成品。</w:t>
      </w:r>
    </w:p>
    <w:p w14:paraId="17D59131">
      <w:pPr>
        <w:keepNext w:val="0"/>
        <w:keepLines w:val="0"/>
        <w:pageBreakBefore w:val="0"/>
        <w:widowControl w:val="0"/>
        <w:kinsoku/>
        <w:wordWrap/>
        <w:overflowPunct/>
        <w:topLinePunct w:val="0"/>
        <w:autoSpaceDE/>
        <w:autoSpaceDN/>
        <w:bidi w:val="0"/>
        <w:adjustRightInd/>
        <w:snapToGrid/>
        <w:spacing w:before="157" w:line="360" w:lineRule="auto"/>
        <w:ind w:left="1431" w:right="1065" w:firstLine="481"/>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（8）验收时由项目驻点负责人和食堂管理员、采购员多人验收，形成书面验收记录，</w:t>
      </w:r>
      <w:r>
        <w:rPr>
          <w:rFonts w:ascii="宋体" w:hAnsi="宋体" w:eastAsia="宋体" w:cs="宋体"/>
          <w:color w:val="auto"/>
          <w:spacing w:val="-1"/>
          <w:sz w:val="24"/>
          <w:szCs w:val="24"/>
          <w:highlight w:val="none"/>
        </w:rPr>
        <w:t>并注明名称、数量、价格、金额等事项，由验收人签署验收意见后</w:t>
      </w:r>
      <w:r>
        <w:rPr>
          <w:rFonts w:ascii="宋体" w:hAnsi="宋体" w:eastAsia="宋体" w:cs="宋体"/>
          <w:color w:val="auto"/>
          <w:spacing w:val="-2"/>
          <w:sz w:val="24"/>
          <w:szCs w:val="24"/>
          <w:highlight w:val="none"/>
        </w:rPr>
        <w:t>签字确认并标注日期。</w:t>
      </w:r>
    </w:p>
    <w:p w14:paraId="65C53259">
      <w:pPr>
        <w:keepNext w:val="0"/>
        <w:keepLines w:val="0"/>
        <w:pageBreakBefore w:val="0"/>
        <w:widowControl w:val="0"/>
        <w:kinsoku/>
        <w:wordWrap/>
        <w:overflowPunct/>
        <w:topLinePunct w:val="0"/>
        <w:autoSpaceDE/>
        <w:autoSpaceDN/>
        <w:bidi w:val="0"/>
        <w:adjustRightInd/>
        <w:snapToGrid/>
        <w:spacing w:before="1" w:line="360" w:lineRule="auto"/>
        <w:ind w:left="1427" w:right="1134" w:firstLine="485"/>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（9）认真做好对蔬菜、豆制品、肉类每次有记录，并</w:t>
      </w:r>
      <w:r>
        <w:rPr>
          <w:rFonts w:ascii="宋体" w:hAnsi="宋体" w:eastAsia="宋体" w:cs="宋体"/>
          <w:color w:val="auto"/>
          <w:spacing w:val="-53"/>
          <w:sz w:val="24"/>
          <w:szCs w:val="24"/>
          <w:highlight w:val="none"/>
        </w:rPr>
        <w:t xml:space="preserve"> </w:t>
      </w:r>
      <w:r>
        <w:rPr>
          <w:rFonts w:ascii="宋体" w:hAnsi="宋体" w:eastAsia="宋体" w:cs="宋体"/>
          <w:color w:val="auto"/>
          <w:spacing w:val="-1"/>
          <w:sz w:val="24"/>
          <w:szCs w:val="24"/>
          <w:highlight w:val="none"/>
        </w:rPr>
        <w:t>48</w:t>
      </w:r>
      <w:r>
        <w:rPr>
          <w:rFonts w:ascii="宋体" w:hAnsi="宋体" w:eastAsia="宋体" w:cs="宋体"/>
          <w:color w:val="auto"/>
          <w:spacing w:val="-46"/>
          <w:sz w:val="24"/>
          <w:szCs w:val="24"/>
          <w:highlight w:val="none"/>
        </w:rPr>
        <w:t xml:space="preserve"> </w:t>
      </w:r>
      <w:r>
        <w:rPr>
          <w:rFonts w:ascii="宋体" w:hAnsi="宋体" w:eastAsia="宋体" w:cs="宋体"/>
          <w:color w:val="auto"/>
          <w:spacing w:val="-1"/>
          <w:sz w:val="24"/>
          <w:szCs w:val="24"/>
          <w:highlight w:val="none"/>
        </w:rPr>
        <w:t>小时留样</w:t>
      </w:r>
      <w:r>
        <w:rPr>
          <w:rFonts w:ascii="宋体" w:hAnsi="宋体" w:eastAsia="宋体" w:cs="宋体"/>
          <w:color w:val="auto"/>
          <w:spacing w:val="-2"/>
          <w:sz w:val="24"/>
          <w:szCs w:val="24"/>
          <w:highlight w:val="none"/>
        </w:rPr>
        <w:t>，对达不到食品卫</w:t>
      </w:r>
      <w:r>
        <w:rPr>
          <w:rFonts w:ascii="宋体" w:hAnsi="宋体" w:eastAsia="宋体" w:cs="宋体"/>
          <w:color w:val="auto"/>
          <w:spacing w:val="-3"/>
          <w:sz w:val="24"/>
          <w:szCs w:val="24"/>
          <w:highlight w:val="none"/>
        </w:rPr>
        <w:t>生标准和不符合卫生要求的食品要坚决清退。</w:t>
      </w:r>
    </w:p>
    <w:p w14:paraId="237A1933">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2.10食堂炊事器具安全操作管理</w:t>
      </w:r>
    </w:p>
    <w:p w14:paraId="0BC7DB0B">
      <w:pPr>
        <w:keepNext w:val="0"/>
        <w:keepLines w:val="0"/>
        <w:pageBreakBefore w:val="0"/>
        <w:widowControl w:val="0"/>
        <w:kinsoku/>
        <w:wordWrap/>
        <w:overflowPunct/>
        <w:topLinePunct w:val="0"/>
        <w:autoSpaceDE/>
        <w:autoSpaceDN/>
        <w:bidi w:val="0"/>
        <w:adjustRightInd/>
        <w:snapToGrid/>
        <w:spacing w:before="157" w:line="360" w:lineRule="auto"/>
        <w:ind w:left="1427" w:right="1149" w:firstLine="485"/>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（1）为了炊事员的工作安全起见，必须了解各种炊事器具和设备、设施的性能和使</w:t>
      </w:r>
      <w:r>
        <w:rPr>
          <w:rFonts w:ascii="宋体" w:hAnsi="宋体" w:eastAsia="宋体" w:cs="宋体"/>
          <w:color w:val="auto"/>
          <w:spacing w:val="-4"/>
          <w:sz w:val="24"/>
          <w:szCs w:val="24"/>
          <w:highlight w:val="none"/>
        </w:rPr>
        <w:t>用方法，确保安全使用。</w:t>
      </w:r>
    </w:p>
    <w:p w14:paraId="22482179">
      <w:pPr>
        <w:keepNext w:val="0"/>
        <w:keepLines w:val="0"/>
        <w:pageBreakBefore w:val="0"/>
        <w:widowControl w:val="0"/>
        <w:kinsoku/>
        <w:wordWrap/>
        <w:overflowPunct/>
        <w:topLinePunct w:val="0"/>
        <w:autoSpaceDE/>
        <w:autoSpaceDN/>
        <w:bidi w:val="0"/>
        <w:adjustRightInd/>
        <w:snapToGrid/>
        <w:spacing w:before="2" w:line="360" w:lineRule="auto"/>
        <w:ind w:left="1431" w:right="1147" w:firstLine="481"/>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（2）所有电源开关不准用湿手开启，以防触电事故发生。电动炊事器具、设备要经</w:t>
      </w:r>
      <w:r>
        <w:rPr>
          <w:rFonts w:ascii="宋体" w:hAnsi="宋体" w:eastAsia="宋体" w:cs="宋体"/>
          <w:color w:val="auto"/>
          <w:spacing w:val="-4"/>
          <w:sz w:val="24"/>
          <w:szCs w:val="24"/>
          <w:highlight w:val="none"/>
        </w:rPr>
        <w:t>常检查，在通风、干燥处放置。</w:t>
      </w:r>
    </w:p>
    <w:p w14:paraId="0A111BFA">
      <w:pPr>
        <w:keepNext w:val="0"/>
        <w:keepLines w:val="0"/>
        <w:pageBreakBefore w:val="0"/>
        <w:widowControl w:val="0"/>
        <w:kinsoku/>
        <w:wordWrap/>
        <w:overflowPunct/>
        <w:topLinePunct w:val="0"/>
        <w:autoSpaceDE/>
        <w:autoSpaceDN/>
        <w:bidi w:val="0"/>
        <w:adjustRightInd/>
        <w:snapToGrid/>
        <w:spacing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（3）食堂操作间严禁闲人进入，以确保安全。</w:t>
      </w:r>
    </w:p>
    <w:p w14:paraId="7FB0147A">
      <w:pPr>
        <w:keepNext w:val="0"/>
        <w:keepLines w:val="0"/>
        <w:pageBreakBefore w:val="0"/>
        <w:widowControl w:val="0"/>
        <w:kinsoku/>
        <w:wordWrap/>
        <w:overflowPunct/>
        <w:topLinePunct w:val="0"/>
        <w:autoSpaceDE/>
        <w:autoSpaceDN/>
        <w:bidi w:val="0"/>
        <w:adjustRightInd/>
        <w:snapToGrid/>
        <w:spacing w:before="15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（4）每日下班时必须保证人走火灭，以防火灾</w:t>
      </w:r>
      <w:r>
        <w:rPr>
          <w:rFonts w:ascii="宋体" w:hAnsi="宋体" w:eastAsia="宋体" w:cs="宋体"/>
          <w:color w:val="auto"/>
          <w:spacing w:val="-3"/>
          <w:sz w:val="24"/>
          <w:szCs w:val="24"/>
          <w:highlight w:val="none"/>
        </w:rPr>
        <w:t>发生。</w:t>
      </w:r>
    </w:p>
    <w:p w14:paraId="27889A60">
      <w:pPr>
        <w:keepNext w:val="0"/>
        <w:keepLines w:val="0"/>
        <w:pageBreakBefore w:val="0"/>
        <w:widowControl w:val="0"/>
        <w:kinsoku/>
        <w:wordWrap/>
        <w:overflowPunct/>
        <w:topLinePunct w:val="0"/>
        <w:autoSpaceDE/>
        <w:autoSpaceDN/>
        <w:bidi w:val="0"/>
        <w:adjustRightInd/>
        <w:snapToGrid/>
        <w:spacing w:before="156"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（5）每日下班时必须检查餐厅所有门窗，</w:t>
      </w:r>
      <w:r>
        <w:rPr>
          <w:rFonts w:ascii="宋体" w:hAnsi="宋体" w:eastAsia="宋体" w:cs="宋体"/>
          <w:color w:val="auto"/>
          <w:spacing w:val="-2"/>
          <w:sz w:val="24"/>
          <w:szCs w:val="24"/>
          <w:highlight w:val="none"/>
        </w:rPr>
        <w:t>所有电源是否关闭，排除安全隐患。</w:t>
      </w:r>
    </w:p>
    <w:p w14:paraId="55661C5F">
      <w:pPr>
        <w:keepNext w:val="0"/>
        <w:keepLines w:val="0"/>
        <w:pageBreakBefore w:val="0"/>
        <w:widowControl w:val="0"/>
        <w:kinsoku/>
        <w:wordWrap/>
        <w:overflowPunct/>
        <w:topLinePunct w:val="0"/>
        <w:autoSpaceDE/>
        <w:autoSpaceDN/>
        <w:bidi w:val="0"/>
        <w:adjustRightInd/>
        <w:snapToGrid/>
        <w:spacing w:before="156"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（6）冰柜使用与维护：</w:t>
      </w:r>
    </w:p>
    <w:p w14:paraId="32C1A43D">
      <w:pPr>
        <w:keepNext w:val="0"/>
        <w:keepLines w:val="0"/>
        <w:pageBreakBefore w:val="0"/>
        <w:widowControl w:val="0"/>
        <w:kinsoku/>
        <w:wordWrap/>
        <w:overflowPunct/>
        <w:topLinePunct w:val="0"/>
        <w:autoSpaceDE/>
        <w:autoSpaceDN/>
        <w:bidi w:val="0"/>
        <w:adjustRightInd/>
        <w:snapToGrid/>
        <w:spacing w:before="151" w:line="360" w:lineRule="auto"/>
        <w:ind w:left="1924"/>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1）操作间的冰柜只许保存与食堂有关的食品，不得私用。</w:t>
      </w:r>
    </w:p>
    <w:p w14:paraId="7593F844">
      <w:pPr>
        <w:keepNext w:val="0"/>
        <w:keepLines w:val="0"/>
        <w:pageBreakBefore w:val="0"/>
        <w:widowControl w:val="0"/>
        <w:kinsoku/>
        <w:wordWrap/>
        <w:overflowPunct/>
        <w:topLinePunct w:val="0"/>
        <w:autoSpaceDE/>
        <w:autoSpaceDN/>
        <w:bidi w:val="0"/>
        <w:adjustRightInd/>
        <w:snapToGrid/>
        <w:spacing w:before="155" w:line="360" w:lineRule="auto"/>
        <w:ind w:left="1909"/>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2）启动冰柜前须保证插头、插座连接完好，再通电源。</w:t>
      </w:r>
    </w:p>
    <w:p w14:paraId="76E1BF22">
      <w:pPr>
        <w:keepNext w:val="0"/>
        <w:keepLines w:val="0"/>
        <w:pageBreakBefore w:val="0"/>
        <w:widowControl w:val="0"/>
        <w:kinsoku/>
        <w:wordWrap/>
        <w:overflowPunct/>
        <w:topLinePunct w:val="0"/>
        <w:autoSpaceDE/>
        <w:autoSpaceDN/>
        <w:bidi w:val="0"/>
        <w:adjustRightInd/>
        <w:snapToGrid/>
        <w:spacing w:before="156"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3）冰柜启动后须检查冰柜有无异常声音，是否正常运转。</w:t>
      </w:r>
    </w:p>
    <w:p w14:paraId="13B8BB15">
      <w:pPr>
        <w:keepNext w:val="0"/>
        <w:keepLines w:val="0"/>
        <w:pageBreakBefore w:val="0"/>
        <w:widowControl w:val="0"/>
        <w:kinsoku/>
        <w:wordWrap/>
        <w:overflowPunct/>
        <w:topLinePunct w:val="0"/>
        <w:autoSpaceDE/>
        <w:autoSpaceDN/>
        <w:bidi w:val="0"/>
        <w:adjustRightInd/>
        <w:snapToGrid/>
        <w:spacing w:before="151" w:line="360" w:lineRule="auto"/>
        <w:ind w:left="1905"/>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4）严格按照冰柜容积及承重规定储存食品</w:t>
      </w:r>
      <w:r>
        <w:rPr>
          <w:rFonts w:ascii="宋体" w:hAnsi="宋体" w:eastAsia="宋体" w:cs="宋体"/>
          <w:color w:val="auto"/>
          <w:spacing w:val="-2"/>
          <w:sz w:val="24"/>
          <w:szCs w:val="24"/>
          <w:highlight w:val="none"/>
        </w:rPr>
        <w:t>，以防冰柜不制冷或停机。</w:t>
      </w:r>
    </w:p>
    <w:p w14:paraId="0E1E7073">
      <w:pPr>
        <w:keepNext w:val="0"/>
        <w:keepLines w:val="0"/>
        <w:pageBreakBefore w:val="0"/>
        <w:widowControl w:val="0"/>
        <w:kinsoku/>
        <w:wordWrap/>
        <w:overflowPunct/>
        <w:topLinePunct w:val="0"/>
        <w:autoSpaceDE/>
        <w:autoSpaceDN/>
        <w:bidi w:val="0"/>
        <w:adjustRightInd/>
        <w:snapToGrid/>
        <w:spacing w:before="157" w:line="360" w:lineRule="auto"/>
        <w:ind w:left="1426" w:right="1150" w:firstLine="48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5）经常检查冰柜内结霜厚度。不定期进行除霜工作，同时做好冰柜内清洁、灭菌工</w:t>
      </w:r>
      <w:r>
        <w:rPr>
          <w:rFonts w:ascii="宋体" w:hAnsi="宋体" w:eastAsia="宋体" w:cs="宋体"/>
          <w:color w:val="auto"/>
          <w:spacing w:val="-3"/>
          <w:sz w:val="24"/>
          <w:szCs w:val="24"/>
          <w:highlight w:val="none"/>
        </w:rPr>
        <w:t>作。确保冰柜正常工作，降低电耗。</w:t>
      </w:r>
    </w:p>
    <w:p w14:paraId="6D20E23D">
      <w:pPr>
        <w:keepNext w:val="0"/>
        <w:keepLines w:val="0"/>
        <w:pageBreakBefore w:val="0"/>
        <w:widowControl w:val="0"/>
        <w:kinsoku/>
        <w:wordWrap/>
        <w:overflowPunct/>
        <w:topLinePunct w:val="0"/>
        <w:autoSpaceDE/>
        <w:autoSpaceDN/>
        <w:bidi w:val="0"/>
        <w:adjustRightInd/>
        <w:snapToGrid/>
        <w:spacing w:before="2" w:line="360" w:lineRule="auto"/>
        <w:ind w:left="1425" w:right="1150" w:firstLine="48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6）冰柜的维护工作要经常进行：防尘罩要经常清理；冰柜的温度要根据实际情况及</w:t>
      </w:r>
      <w:r>
        <w:rPr>
          <w:rFonts w:ascii="宋体" w:hAnsi="宋体" w:eastAsia="宋体" w:cs="宋体"/>
          <w:color w:val="auto"/>
          <w:spacing w:val="-3"/>
          <w:sz w:val="24"/>
          <w:szCs w:val="24"/>
          <w:highlight w:val="none"/>
        </w:rPr>
        <w:t>所冻食品数量进行调整。</w:t>
      </w:r>
    </w:p>
    <w:p w14:paraId="27D806BE">
      <w:pPr>
        <w:keepNext w:val="0"/>
        <w:keepLines w:val="0"/>
        <w:pageBreakBefore w:val="0"/>
        <w:widowControl w:val="0"/>
        <w:kinsoku/>
        <w:wordWrap/>
        <w:overflowPunct/>
        <w:topLinePunct w:val="0"/>
        <w:autoSpaceDE/>
        <w:autoSpaceDN/>
        <w:bidi w:val="0"/>
        <w:adjustRightInd/>
        <w:snapToGrid/>
        <w:spacing w:before="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7）发现问题应及时断电，迅速向总务部报修，并协助维修。</w:t>
      </w:r>
    </w:p>
    <w:p w14:paraId="748ABDC0">
      <w:pPr>
        <w:keepNext w:val="0"/>
        <w:keepLines w:val="0"/>
        <w:pageBreakBefore w:val="0"/>
        <w:widowControl w:val="0"/>
        <w:kinsoku/>
        <w:wordWrap/>
        <w:overflowPunct/>
        <w:topLinePunct w:val="0"/>
        <w:autoSpaceDE/>
        <w:autoSpaceDN/>
        <w:bidi w:val="0"/>
        <w:adjustRightInd/>
        <w:snapToGrid/>
        <w:spacing w:before="151"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（7）和面机使用与维护：</w:t>
      </w:r>
    </w:p>
    <w:p w14:paraId="0280EA65">
      <w:pPr>
        <w:keepNext w:val="0"/>
        <w:keepLines w:val="0"/>
        <w:pageBreakBefore w:val="0"/>
        <w:widowControl w:val="0"/>
        <w:kinsoku/>
        <w:wordWrap/>
        <w:overflowPunct/>
        <w:topLinePunct w:val="0"/>
        <w:autoSpaceDE/>
        <w:autoSpaceDN/>
        <w:bidi w:val="0"/>
        <w:adjustRightInd/>
        <w:snapToGrid/>
        <w:spacing w:before="157" w:line="360" w:lineRule="auto"/>
        <w:ind w:left="192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1）启动与使用和面机前先打开和面机盖，确认机内无其他物品后方可使用。</w:t>
      </w:r>
    </w:p>
    <w:p w14:paraId="1BAA36F7">
      <w:pPr>
        <w:keepNext w:val="0"/>
        <w:keepLines w:val="0"/>
        <w:pageBreakBefore w:val="0"/>
        <w:widowControl w:val="0"/>
        <w:kinsoku/>
        <w:wordWrap/>
        <w:overflowPunct/>
        <w:topLinePunct w:val="0"/>
        <w:autoSpaceDE/>
        <w:autoSpaceDN/>
        <w:bidi w:val="0"/>
        <w:adjustRightInd/>
        <w:snapToGrid/>
        <w:spacing w:before="157" w:line="360" w:lineRule="auto"/>
        <w:ind w:left="1427" w:right="1190" w:firstLine="481"/>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2）启动和面机前须保证插头、插座连接完好，确保电机旁无影响电机运转的杂物，</w:t>
      </w:r>
      <w:r>
        <w:rPr>
          <w:rFonts w:ascii="宋体" w:hAnsi="宋体" w:eastAsia="宋体" w:cs="宋体"/>
          <w:color w:val="auto"/>
          <w:spacing w:val="-8"/>
          <w:sz w:val="24"/>
          <w:szCs w:val="24"/>
          <w:highlight w:val="none"/>
        </w:rPr>
        <w:t>再通电源。</w:t>
      </w:r>
    </w:p>
    <w:p w14:paraId="7540C29C">
      <w:pPr>
        <w:keepNext w:val="0"/>
        <w:keepLines w:val="0"/>
        <w:pageBreakBefore w:val="0"/>
        <w:widowControl w:val="0"/>
        <w:kinsoku/>
        <w:wordWrap/>
        <w:overflowPunct/>
        <w:topLinePunct w:val="0"/>
        <w:autoSpaceDE/>
        <w:autoSpaceDN/>
        <w:bidi w:val="0"/>
        <w:adjustRightInd/>
        <w:snapToGrid/>
        <w:spacing w:before="1"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3）操作和面机及添加面粉，操作人员必须在和</w:t>
      </w:r>
      <w:r>
        <w:rPr>
          <w:rFonts w:ascii="宋体" w:hAnsi="宋体" w:eastAsia="宋体" w:cs="宋体"/>
          <w:color w:val="auto"/>
          <w:spacing w:val="-2"/>
          <w:sz w:val="24"/>
          <w:szCs w:val="24"/>
          <w:highlight w:val="none"/>
        </w:rPr>
        <w:t>面机正前方，不得在左或在右。</w:t>
      </w:r>
    </w:p>
    <w:p w14:paraId="6FF14B99">
      <w:pPr>
        <w:keepNext w:val="0"/>
        <w:keepLines w:val="0"/>
        <w:pageBreakBefore w:val="0"/>
        <w:widowControl w:val="0"/>
        <w:kinsoku/>
        <w:wordWrap/>
        <w:overflowPunct/>
        <w:topLinePunct w:val="0"/>
        <w:autoSpaceDE/>
        <w:autoSpaceDN/>
        <w:bidi w:val="0"/>
        <w:adjustRightInd/>
        <w:snapToGrid/>
        <w:spacing w:before="157" w:line="360" w:lineRule="auto"/>
        <w:ind w:left="1905"/>
        <w:textAlignment w:val="auto"/>
        <w:rPr>
          <w:color w:val="auto"/>
          <w:highlight w:val="none"/>
        </w:rPr>
      </w:pPr>
      <w:r>
        <w:rPr>
          <w:rFonts w:ascii="宋体" w:hAnsi="宋体" w:eastAsia="宋体" w:cs="宋体"/>
          <w:color w:val="auto"/>
          <w:spacing w:val="-3"/>
          <w:sz w:val="24"/>
          <w:szCs w:val="24"/>
          <w:highlight w:val="none"/>
        </w:rPr>
        <w:t>4）必须先放面粉后放水，然后启动开关。</w:t>
      </w:r>
    </w:p>
    <w:p w14:paraId="78C36BAC">
      <w:pPr>
        <w:keepNext w:val="0"/>
        <w:keepLines w:val="0"/>
        <w:pageBreakBefore w:val="0"/>
        <w:widowControl w:val="0"/>
        <w:kinsoku/>
        <w:wordWrap/>
        <w:overflowPunct/>
        <w:topLinePunct w:val="0"/>
        <w:autoSpaceDE/>
        <w:autoSpaceDN/>
        <w:bidi w:val="0"/>
        <w:adjustRightInd/>
        <w:snapToGrid/>
        <w:spacing w:before="78" w:line="360" w:lineRule="auto"/>
        <w:ind w:left="1429" w:right="1148" w:firstLine="481"/>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5）投放面量不得超出和面机负载量，防止因超载造成电机皮带打滑、电机短路的事</w:t>
      </w:r>
      <w:r>
        <w:rPr>
          <w:rFonts w:ascii="宋体" w:hAnsi="宋体" w:eastAsia="宋体" w:cs="宋体"/>
          <w:color w:val="auto"/>
          <w:spacing w:val="-12"/>
          <w:sz w:val="24"/>
          <w:szCs w:val="24"/>
          <w:highlight w:val="none"/>
        </w:rPr>
        <w:t>故。</w:t>
      </w:r>
    </w:p>
    <w:p w14:paraId="50E43B26">
      <w:pPr>
        <w:keepNext w:val="0"/>
        <w:keepLines w:val="0"/>
        <w:pageBreakBefore w:val="0"/>
        <w:widowControl w:val="0"/>
        <w:kinsoku/>
        <w:wordWrap/>
        <w:overflowPunct/>
        <w:topLinePunct w:val="0"/>
        <w:autoSpaceDE/>
        <w:autoSpaceDN/>
        <w:bidi w:val="0"/>
        <w:adjustRightInd/>
        <w:snapToGrid/>
        <w:spacing w:before="2" w:line="360" w:lineRule="auto"/>
        <w:ind w:left="1425" w:right="1148" w:firstLine="48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6）经常检查电机皮带、保护装置是否正常；发现问题应及时断电，迅速向总务部报</w:t>
      </w:r>
      <w:r>
        <w:rPr>
          <w:rFonts w:ascii="宋体" w:hAnsi="宋体" w:eastAsia="宋体" w:cs="宋体"/>
          <w:color w:val="auto"/>
          <w:spacing w:val="-3"/>
          <w:sz w:val="24"/>
          <w:szCs w:val="24"/>
          <w:highlight w:val="none"/>
        </w:rPr>
        <w:t>修，并协助维修；机器绝不能带病使用。</w:t>
      </w:r>
    </w:p>
    <w:p w14:paraId="7B8028C8">
      <w:pPr>
        <w:keepNext w:val="0"/>
        <w:keepLines w:val="0"/>
        <w:pageBreakBefore w:val="0"/>
        <w:widowControl w:val="0"/>
        <w:kinsoku/>
        <w:wordWrap/>
        <w:overflowPunct/>
        <w:topLinePunct w:val="0"/>
        <w:autoSpaceDE/>
        <w:autoSpaceDN/>
        <w:bidi w:val="0"/>
        <w:adjustRightInd/>
        <w:snapToGrid/>
        <w:spacing w:before="1" w:line="360" w:lineRule="auto"/>
        <w:ind w:left="1672"/>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（8）切面机使用与维护：</w:t>
      </w:r>
    </w:p>
    <w:p w14:paraId="1E53DB27">
      <w:pPr>
        <w:keepNext w:val="0"/>
        <w:keepLines w:val="0"/>
        <w:pageBreakBefore w:val="0"/>
        <w:widowControl w:val="0"/>
        <w:kinsoku/>
        <w:wordWrap/>
        <w:overflowPunct/>
        <w:topLinePunct w:val="0"/>
        <w:autoSpaceDE/>
        <w:autoSpaceDN/>
        <w:bidi w:val="0"/>
        <w:adjustRightInd/>
        <w:snapToGrid/>
        <w:spacing w:before="157" w:line="360" w:lineRule="auto"/>
        <w:ind w:left="1426" w:right="1157" w:firstLine="497"/>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1）启动切面机前先要根据实际需要更换面轴，并调整</w:t>
      </w:r>
      <w:r>
        <w:rPr>
          <w:rFonts w:ascii="宋体" w:hAnsi="宋体" w:eastAsia="宋体" w:cs="宋体"/>
          <w:color w:val="auto"/>
          <w:spacing w:val="1"/>
          <w:sz w:val="24"/>
          <w:szCs w:val="24"/>
          <w:highlight w:val="none"/>
        </w:rPr>
        <w:t>好轴间距；禁止机器运行中调</w:t>
      </w:r>
      <w:r>
        <w:rPr>
          <w:rFonts w:ascii="宋体" w:hAnsi="宋体" w:eastAsia="宋体" w:cs="宋体"/>
          <w:color w:val="auto"/>
          <w:spacing w:val="-6"/>
          <w:sz w:val="24"/>
          <w:szCs w:val="24"/>
          <w:highlight w:val="none"/>
        </w:rPr>
        <w:t>整或更换面轴。</w:t>
      </w:r>
    </w:p>
    <w:p w14:paraId="7AF9558F">
      <w:pPr>
        <w:keepNext w:val="0"/>
        <w:keepLines w:val="0"/>
        <w:pageBreakBefore w:val="0"/>
        <w:widowControl w:val="0"/>
        <w:kinsoku/>
        <w:wordWrap/>
        <w:overflowPunct/>
        <w:topLinePunct w:val="0"/>
        <w:autoSpaceDE/>
        <w:autoSpaceDN/>
        <w:bidi w:val="0"/>
        <w:adjustRightInd/>
        <w:snapToGrid/>
        <w:spacing w:before="1" w:line="360" w:lineRule="auto"/>
        <w:ind w:left="1909"/>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2）启动切面机前要保证插头、插座连接完好，再通电源。</w:t>
      </w:r>
    </w:p>
    <w:p w14:paraId="777050E2">
      <w:pPr>
        <w:keepNext w:val="0"/>
        <w:keepLines w:val="0"/>
        <w:pageBreakBefore w:val="0"/>
        <w:widowControl w:val="0"/>
        <w:kinsoku/>
        <w:wordWrap/>
        <w:overflowPunct/>
        <w:topLinePunct w:val="0"/>
        <w:autoSpaceDE/>
        <w:autoSpaceDN/>
        <w:bidi w:val="0"/>
        <w:adjustRightInd/>
        <w:snapToGrid/>
        <w:spacing w:before="156"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3）添加面团禁止用手指向内压送。</w:t>
      </w:r>
    </w:p>
    <w:p w14:paraId="4552C2B6">
      <w:pPr>
        <w:keepNext w:val="0"/>
        <w:keepLines w:val="0"/>
        <w:pageBreakBefore w:val="0"/>
        <w:widowControl w:val="0"/>
        <w:kinsoku/>
        <w:wordWrap/>
        <w:overflowPunct/>
        <w:topLinePunct w:val="0"/>
        <w:autoSpaceDE/>
        <w:autoSpaceDN/>
        <w:bidi w:val="0"/>
        <w:adjustRightInd/>
        <w:snapToGrid/>
        <w:spacing w:before="155" w:line="360" w:lineRule="auto"/>
        <w:ind w:left="1905"/>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4）操作切面机必须精神集中。</w:t>
      </w:r>
    </w:p>
    <w:p w14:paraId="6B352F08">
      <w:pPr>
        <w:keepNext w:val="0"/>
        <w:keepLines w:val="0"/>
        <w:pageBreakBefore w:val="0"/>
        <w:widowControl w:val="0"/>
        <w:kinsoku/>
        <w:wordWrap/>
        <w:overflowPunct/>
        <w:topLinePunct w:val="0"/>
        <w:autoSpaceDE/>
        <w:autoSpaceDN/>
        <w:bidi w:val="0"/>
        <w:adjustRightInd/>
        <w:snapToGrid/>
        <w:spacing w:before="152" w:line="360" w:lineRule="auto"/>
        <w:ind w:left="1425" w:right="1146" w:firstLine="485"/>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5）对易损部件要经常检查、维护，发现问题应及时向总务部报修，并协助维修。机</w:t>
      </w:r>
      <w:r>
        <w:rPr>
          <w:rFonts w:ascii="宋体" w:hAnsi="宋体" w:eastAsia="宋体" w:cs="宋体"/>
          <w:color w:val="auto"/>
          <w:spacing w:val="-5"/>
          <w:sz w:val="24"/>
          <w:szCs w:val="24"/>
          <w:highlight w:val="none"/>
        </w:rPr>
        <w:t>器绝不能带病使用。</w:t>
      </w:r>
    </w:p>
    <w:p w14:paraId="2EAE20C3">
      <w:pPr>
        <w:keepNext w:val="0"/>
        <w:keepLines w:val="0"/>
        <w:pageBreakBefore w:val="0"/>
        <w:widowControl w:val="0"/>
        <w:kinsoku/>
        <w:wordWrap/>
        <w:overflowPunct/>
        <w:topLinePunct w:val="0"/>
        <w:autoSpaceDE/>
        <w:autoSpaceDN/>
        <w:bidi w:val="0"/>
        <w:adjustRightInd/>
        <w:snapToGrid/>
        <w:spacing w:before="1" w:line="360" w:lineRule="auto"/>
        <w:ind w:left="1672"/>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（9）消毒柜使用与维护：</w:t>
      </w:r>
    </w:p>
    <w:p w14:paraId="0912AA7C">
      <w:pPr>
        <w:keepNext w:val="0"/>
        <w:keepLines w:val="0"/>
        <w:pageBreakBefore w:val="0"/>
        <w:widowControl w:val="0"/>
        <w:kinsoku/>
        <w:wordWrap/>
        <w:overflowPunct/>
        <w:topLinePunct w:val="0"/>
        <w:autoSpaceDE/>
        <w:autoSpaceDN/>
        <w:bidi w:val="0"/>
        <w:adjustRightInd/>
        <w:snapToGrid/>
        <w:spacing w:before="151" w:line="360" w:lineRule="auto"/>
        <w:ind w:left="1924"/>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1）使用消毒柜前首先保证插头、插座连接</w:t>
      </w:r>
      <w:r>
        <w:rPr>
          <w:rFonts w:ascii="宋体" w:hAnsi="宋体" w:eastAsia="宋体" w:cs="宋体"/>
          <w:color w:val="auto"/>
          <w:spacing w:val="-3"/>
          <w:sz w:val="24"/>
          <w:szCs w:val="24"/>
          <w:highlight w:val="none"/>
        </w:rPr>
        <w:t>完好，再通电源。</w:t>
      </w:r>
    </w:p>
    <w:p w14:paraId="02DF6CD3">
      <w:pPr>
        <w:keepNext w:val="0"/>
        <w:keepLines w:val="0"/>
        <w:pageBreakBefore w:val="0"/>
        <w:widowControl w:val="0"/>
        <w:kinsoku/>
        <w:wordWrap/>
        <w:overflowPunct/>
        <w:topLinePunct w:val="0"/>
        <w:autoSpaceDE/>
        <w:autoSpaceDN/>
        <w:bidi w:val="0"/>
        <w:adjustRightInd/>
        <w:snapToGrid/>
        <w:spacing w:before="155" w:line="360" w:lineRule="auto"/>
        <w:ind w:left="1909"/>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2）使用消毒柜必须先放入餐具再启动。</w:t>
      </w:r>
    </w:p>
    <w:p w14:paraId="79564B24">
      <w:pPr>
        <w:keepNext w:val="0"/>
        <w:keepLines w:val="0"/>
        <w:pageBreakBefore w:val="0"/>
        <w:widowControl w:val="0"/>
        <w:kinsoku/>
        <w:wordWrap/>
        <w:overflowPunct/>
        <w:topLinePunct w:val="0"/>
        <w:autoSpaceDE/>
        <w:autoSpaceDN/>
        <w:bidi w:val="0"/>
        <w:adjustRightInd/>
        <w:snapToGrid/>
        <w:spacing w:before="157"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3）使用消毒柜前须保证餐具干燥，以保证消毒柜安全。</w:t>
      </w:r>
    </w:p>
    <w:p w14:paraId="7127F502">
      <w:pPr>
        <w:keepNext w:val="0"/>
        <w:keepLines w:val="0"/>
        <w:pageBreakBefore w:val="0"/>
        <w:widowControl w:val="0"/>
        <w:kinsoku/>
        <w:wordWrap/>
        <w:overflowPunct/>
        <w:topLinePunct w:val="0"/>
        <w:autoSpaceDE/>
        <w:autoSpaceDN/>
        <w:bidi w:val="0"/>
        <w:adjustRightInd/>
        <w:snapToGrid/>
        <w:spacing w:before="151" w:line="360" w:lineRule="auto"/>
        <w:ind w:left="1905"/>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4）消毒过程完成、温度下降后方可开启柜门，以确保消毒质量，并</w:t>
      </w:r>
      <w:r>
        <w:rPr>
          <w:rFonts w:ascii="宋体" w:hAnsi="宋体" w:eastAsia="宋体" w:cs="宋体"/>
          <w:color w:val="auto"/>
          <w:spacing w:val="-2"/>
          <w:sz w:val="24"/>
          <w:szCs w:val="24"/>
          <w:highlight w:val="none"/>
        </w:rPr>
        <w:t>防止事故发生。</w:t>
      </w:r>
    </w:p>
    <w:p w14:paraId="61C51F9C">
      <w:pPr>
        <w:keepNext w:val="0"/>
        <w:keepLines w:val="0"/>
        <w:pageBreakBefore w:val="0"/>
        <w:widowControl w:val="0"/>
        <w:kinsoku/>
        <w:wordWrap/>
        <w:overflowPunct/>
        <w:topLinePunct w:val="0"/>
        <w:autoSpaceDE/>
        <w:autoSpaceDN/>
        <w:bidi w:val="0"/>
        <w:adjustRightInd/>
        <w:snapToGrid/>
        <w:spacing w:before="156"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5）消毒柜仅用于餐具消毒之用，禁止挪作他用。</w:t>
      </w:r>
    </w:p>
    <w:p w14:paraId="6573D28E">
      <w:pPr>
        <w:keepNext w:val="0"/>
        <w:keepLines w:val="0"/>
        <w:pageBreakBefore w:val="0"/>
        <w:widowControl w:val="0"/>
        <w:kinsoku/>
        <w:wordWrap/>
        <w:overflowPunct/>
        <w:topLinePunct w:val="0"/>
        <w:autoSpaceDE/>
        <w:autoSpaceDN/>
        <w:bidi w:val="0"/>
        <w:adjustRightInd/>
        <w:snapToGrid/>
        <w:spacing w:before="156" w:line="360" w:lineRule="auto"/>
        <w:ind w:left="1908"/>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6）发现问题应及时断电，迅速向总务部报修，并协助维修。</w:t>
      </w:r>
      <w:r>
        <w:rPr>
          <w:rFonts w:ascii="宋体" w:hAnsi="宋体" w:eastAsia="宋体" w:cs="宋体"/>
          <w:color w:val="auto"/>
          <w:spacing w:val="-2"/>
          <w:sz w:val="24"/>
          <w:szCs w:val="24"/>
          <w:highlight w:val="none"/>
        </w:rPr>
        <w:t>机器绝不能带病使用。</w:t>
      </w:r>
    </w:p>
    <w:p w14:paraId="54C7CC83">
      <w:pPr>
        <w:keepNext w:val="0"/>
        <w:keepLines w:val="0"/>
        <w:pageBreakBefore w:val="0"/>
        <w:widowControl w:val="0"/>
        <w:kinsoku/>
        <w:wordWrap/>
        <w:overflowPunct/>
        <w:topLinePunct w:val="0"/>
        <w:autoSpaceDE/>
        <w:autoSpaceDN/>
        <w:bidi w:val="0"/>
        <w:adjustRightInd/>
        <w:snapToGrid/>
        <w:spacing w:before="152" w:line="360" w:lineRule="auto"/>
        <w:ind w:left="1672"/>
        <w:textAlignment w:val="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（10）其他设备均按设备使用说明操作；</w:t>
      </w:r>
    </w:p>
    <w:p w14:paraId="5041092F">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2.11油烟机内外应当定期清洗，防止油污外溢。</w:t>
      </w:r>
    </w:p>
    <w:p w14:paraId="37EEFEBF">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2.12为保证原料质量，原辅料进货渠道，现作如下要求：</w:t>
      </w:r>
    </w:p>
    <w:p w14:paraId="4F77B0D4">
      <w:pPr>
        <w:keepNext w:val="0"/>
        <w:keepLines w:val="0"/>
        <w:pageBreakBefore w:val="0"/>
        <w:widowControl w:val="0"/>
        <w:kinsoku/>
        <w:wordWrap/>
        <w:overflowPunct/>
        <w:topLinePunct w:val="0"/>
        <w:autoSpaceDE/>
        <w:autoSpaceDN/>
        <w:bidi w:val="0"/>
        <w:adjustRightInd/>
        <w:snapToGrid/>
        <w:spacing w:before="152"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（1）猪肉、水产等主要原料必须在雨润同等级别大</w:t>
      </w:r>
      <w:r>
        <w:rPr>
          <w:rFonts w:ascii="宋体" w:hAnsi="宋体" w:eastAsia="宋体" w:cs="宋体"/>
          <w:color w:val="auto"/>
          <w:spacing w:val="-2"/>
          <w:sz w:val="24"/>
          <w:szCs w:val="24"/>
          <w:highlight w:val="none"/>
        </w:rPr>
        <w:t>型供应商进货（需提前备案）。</w:t>
      </w:r>
    </w:p>
    <w:p w14:paraId="5FB1ACC6">
      <w:pPr>
        <w:keepNext w:val="0"/>
        <w:keepLines w:val="0"/>
        <w:pageBreakBefore w:val="0"/>
        <w:widowControl w:val="0"/>
        <w:kinsoku/>
        <w:wordWrap/>
        <w:overflowPunct/>
        <w:topLinePunct w:val="0"/>
        <w:autoSpaceDE/>
        <w:autoSpaceDN/>
        <w:bidi w:val="0"/>
        <w:adjustRightInd/>
        <w:snapToGrid/>
        <w:spacing w:before="158"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（2）其他原辅料，包括易耗品，必须在大型连锁超市进货，不得使</w:t>
      </w:r>
      <w:r>
        <w:rPr>
          <w:rFonts w:ascii="宋体" w:hAnsi="宋体" w:eastAsia="宋体" w:cs="宋体"/>
          <w:color w:val="auto"/>
          <w:spacing w:val="-2"/>
          <w:sz w:val="24"/>
          <w:szCs w:val="24"/>
          <w:highlight w:val="none"/>
        </w:rPr>
        <w:t>用转基因类商品。</w:t>
      </w:r>
    </w:p>
    <w:p w14:paraId="313138B4">
      <w:pPr>
        <w:keepNext w:val="0"/>
        <w:keepLines w:val="0"/>
        <w:pageBreakBefore w:val="0"/>
        <w:widowControl w:val="0"/>
        <w:kinsoku/>
        <w:wordWrap/>
        <w:overflowPunct/>
        <w:topLinePunct w:val="0"/>
        <w:autoSpaceDE/>
        <w:autoSpaceDN/>
        <w:bidi w:val="0"/>
        <w:adjustRightInd/>
        <w:snapToGrid/>
        <w:spacing w:before="157"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（3）蔬菜必须参考四季农产品市场价格，由采购人进行监督采购。</w:t>
      </w:r>
    </w:p>
    <w:p w14:paraId="59882705">
      <w:pPr>
        <w:keepNext w:val="0"/>
        <w:keepLines w:val="0"/>
        <w:pageBreakBefore w:val="0"/>
        <w:widowControl w:val="0"/>
        <w:kinsoku/>
        <w:wordWrap/>
        <w:overflowPunct/>
        <w:topLinePunct w:val="0"/>
        <w:autoSpaceDE/>
        <w:autoSpaceDN/>
        <w:bidi w:val="0"/>
        <w:adjustRightInd/>
        <w:snapToGrid/>
        <w:spacing w:before="153" w:line="360" w:lineRule="auto"/>
        <w:ind w:left="1912"/>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（4）其他经双方共同商讨确定供货渠道或</w:t>
      </w:r>
      <w:r>
        <w:rPr>
          <w:rFonts w:ascii="宋体" w:hAnsi="宋体" w:eastAsia="宋体" w:cs="宋体"/>
          <w:color w:val="auto"/>
          <w:spacing w:val="-2"/>
          <w:sz w:val="24"/>
          <w:szCs w:val="24"/>
          <w:highlight w:val="none"/>
        </w:rPr>
        <w:t>品牌，必须符合国家质量检测标准。</w:t>
      </w:r>
    </w:p>
    <w:p w14:paraId="11D6C1EC">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2.13保险</w:t>
      </w:r>
    </w:p>
    <w:p w14:paraId="0EA021FE">
      <w:pPr>
        <w:keepNext w:val="0"/>
        <w:keepLines w:val="0"/>
        <w:pageBreakBefore w:val="0"/>
        <w:widowControl w:val="0"/>
        <w:kinsoku/>
        <w:wordWrap/>
        <w:overflowPunct/>
        <w:topLinePunct w:val="0"/>
        <w:autoSpaceDE/>
        <w:autoSpaceDN/>
        <w:bidi w:val="0"/>
        <w:adjustRightInd/>
        <w:snapToGrid/>
        <w:spacing w:before="156" w:line="360" w:lineRule="auto"/>
        <w:ind w:left="1909"/>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投标人必须为采购人提供公共责任险及食品安全险。</w:t>
      </w:r>
    </w:p>
    <w:p w14:paraId="520DD833">
      <w:pPr>
        <w:keepNext w:val="0"/>
        <w:keepLines w:val="0"/>
        <w:pageBreakBefore w:val="0"/>
        <w:widowControl w:val="0"/>
        <w:kinsoku/>
        <w:wordWrap/>
        <w:overflowPunct/>
        <w:topLinePunct w:val="0"/>
        <w:autoSpaceDE/>
        <w:autoSpaceDN/>
        <w:bidi w:val="0"/>
        <w:adjustRightInd/>
        <w:snapToGrid/>
        <w:spacing w:before="5" w:line="360" w:lineRule="auto"/>
        <w:ind w:left="955" w:leftChars="455" w:right="1129" w:firstLine="361" w:firstLineChars="150"/>
        <w:jc w:val="both"/>
        <w:textAlignment w:val="auto"/>
        <w:rPr>
          <w:rFonts w:hint="eastAsia" w:ascii="宋体" w:hAnsi="宋体" w:cs="Times New Roman"/>
          <w:b/>
          <w:bCs/>
          <w:color w:val="auto"/>
          <w:sz w:val="24"/>
          <w:szCs w:val="21"/>
          <w:highlight w:val="none"/>
          <w:lang w:val="en-US" w:eastAsia="zh-CN"/>
        </w:rPr>
      </w:pPr>
      <w:r>
        <w:rPr>
          <w:rFonts w:hint="eastAsia" w:ascii="宋体" w:hAnsi="宋体" w:cs="Times New Roman"/>
          <w:b/>
          <w:bCs/>
          <w:color w:val="auto"/>
          <w:sz w:val="24"/>
          <w:szCs w:val="21"/>
          <w:highlight w:val="none"/>
          <w:lang w:val="en-US" w:eastAsia="zh-CN"/>
        </w:rPr>
        <w:t>2.14保密要求</w:t>
      </w:r>
    </w:p>
    <w:p w14:paraId="554B035F">
      <w:pPr>
        <w:keepNext w:val="0"/>
        <w:keepLines w:val="0"/>
        <w:pageBreakBefore w:val="0"/>
        <w:widowControl w:val="0"/>
        <w:kinsoku/>
        <w:wordWrap/>
        <w:overflowPunct/>
        <w:topLinePunct w:val="0"/>
        <w:autoSpaceDE/>
        <w:autoSpaceDN/>
        <w:bidi w:val="0"/>
        <w:adjustRightInd/>
        <w:snapToGrid/>
        <w:spacing w:before="155" w:line="360" w:lineRule="auto"/>
        <w:ind w:left="1426" w:right="1136" w:firstLine="481"/>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无论在合同期内或合同终止后，投标人都不得将采购人相关信息透露给第三方，并确</w:t>
      </w:r>
      <w:r>
        <w:rPr>
          <w:rFonts w:ascii="宋体" w:hAnsi="宋体" w:eastAsia="宋体" w:cs="宋体"/>
          <w:color w:val="auto"/>
          <w:spacing w:val="-4"/>
          <w:sz w:val="24"/>
          <w:szCs w:val="24"/>
          <w:highlight w:val="none"/>
        </w:rPr>
        <w:t>保员工严格遵守此保密要求。</w:t>
      </w:r>
    </w:p>
    <w:p w14:paraId="1A57AF5B">
      <w:pPr>
        <w:keepNext w:val="0"/>
        <w:keepLines w:val="0"/>
        <w:pageBreakBefore w:val="0"/>
        <w:widowControl w:val="0"/>
        <w:kinsoku/>
        <w:wordWrap/>
        <w:overflowPunct/>
        <w:topLinePunct w:val="0"/>
        <w:autoSpaceDE/>
        <w:autoSpaceDN/>
        <w:bidi w:val="0"/>
        <w:adjustRightInd/>
        <w:snapToGrid/>
        <w:spacing w:before="78" w:line="360" w:lineRule="auto"/>
        <w:ind w:left="1911"/>
        <w:textAlignment w:val="auto"/>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3.</w:t>
      </w:r>
      <w:r>
        <w:rPr>
          <w:rFonts w:ascii="宋体" w:hAnsi="宋体" w:eastAsia="宋体" w:cs="宋体"/>
          <w:color w:val="auto"/>
          <w:spacing w:val="-4"/>
          <w:sz w:val="24"/>
          <w:szCs w:val="24"/>
          <w:highlight w:val="none"/>
        </w:rPr>
        <w:t xml:space="preserve"> </w:t>
      </w:r>
      <w:r>
        <w:rPr>
          <w:rFonts w:ascii="宋体" w:hAnsi="宋体" w:eastAsia="宋体" w:cs="宋体"/>
          <w:b/>
          <w:bCs/>
          <w:color w:val="auto"/>
          <w:spacing w:val="-4"/>
          <w:sz w:val="24"/>
          <w:szCs w:val="24"/>
          <w:highlight w:val="none"/>
        </w:rPr>
        <w:t>其他服务要求</w:t>
      </w:r>
    </w:p>
    <w:p w14:paraId="79093A38">
      <w:pPr>
        <w:keepNext w:val="0"/>
        <w:keepLines w:val="0"/>
        <w:pageBreakBefore w:val="0"/>
        <w:widowControl w:val="0"/>
        <w:kinsoku/>
        <w:wordWrap/>
        <w:overflowPunct/>
        <w:topLinePunct w:val="0"/>
        <w:autoSpaceDE/>
        <w:autoSpaceDN/>
        <w:bidi w:val="0"/>
        <w:adjustRightInd/>
        <w:snapToGrid/>
        <w:spacing w:before="151"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3.1</w:t>
      </w:r>
      <w:r>
        <w:rPr>
          <w:rFonts w:ascii="宋体" w:hAnsi="宋体" w:eastAsia="宋体" w:cs="宋体"/>
          <w:color w:val="auto"/>
          <w:spacing w:val="-49"/>
          <w:sz w:val="24"/>
          <w:szCs w:val="24"/>
          <w:highlight w:val="none"/>
        </w:rPr>
        <w:t xml:space="preserve"> </w:t>
      </w:r>
      <w:r>
        <w:rPr>
          <w:rFonts w:ascii="宋体" w:hAnsi="宋体" w:eastAsia="宋体" w:cs="宋体"/>
          <w:color w:val="auto"/>
          <w:spacing w:val="-2"/>
          <w:sz w:val="24"/>
          <w:szCs w:val="24"/>
          <w:highlight w:val="none"/>
        </w:rPr>
        <w:t>食堂应按照采购人的要求，做好采购人的招待任务和值班工作。</w:t>
      </w:r>
    </w:p>
    <w:p w14:paraId="6EC7C3D1">
      <w:pPr>
        <w:keepNext w:val="0"/>
        <w:keepLines w:val="0"/>
        <w:pageBreakBefore w:val="0"/>
        <w:widowControl w:val="0"/>
        <w:kinsoku/>
        <w:wordWrap/>
        <w:overflowPunct/>
        <w:topLinePunct w:val="0"/>
        <w:autoSpaceDE/>
        <w:autoSpaceDN/>
        <w:bidi w:val="0"/>
        <w:adjustRightInd/>
        <w:snapToGrid/>
        <w:spacing w:before="157"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3.2</w:t>
      </w:r>
      <w:r>
        <w:rPr>
          <w:rFonts w:ascii="宋体" w:hAnsi="宋体" w:eastAsia="宋体" w:cs="宋体"/>
          <w:color w:val="auto"/>
          <w:spacing w:val="-34"/>
          <w:sz w:val="24"/>
          <w:szCs w:val="24"/>
          <w:highlight w:val="none"/>
        </w:rPr>
        <w:t xml:space="preserve"> </w:t>
      </w:r>
      <w:r>
        <w:rPr>
          <w:rFonts w:ascii="宋体" w:hAnsi="宋体" w:eastAsia="宋体" w:cs="宋体"/>
          <w:color w:val="auto"/>
          <w:spacing w:val="-3"/>
          <w:sz w:val="24"/>
          <w:szCs w:val="24"/>
          <w:highlight w:val="none"/>
        </w:rPr>
        <w:t>需按月份向采购人提供每月一周的菜单，共</w:t>
      </w:r>
      <w:r>
        <w:rPr>
          <w:rFonts w:ascii="宋体" w:hAnsi="宋体" w:eastAsia="宋体" w:cs="宋体"/>
          <w:color w:val="auto"/>
          <w:spacing w:val="-52"/>
          <w:sz w:val="24"/>
          <w:szCs w:val="24"/>
          <w:highlight w:val="none"/>
        </w:rPr>
        <w:t xml:space="preserve"> </w:t>
      </w:r>
      <w:r>
        <w:rPr>
          <w:rFonts w:ascii="宋体" w:hAnsi="宋体" w:eastAsia="宋体" w:cs="宋体"/>
          <w:color w:val="auto"/>
          <w:spacing w:val="-3"/>
          <w:sz w:val="24"/>
          <w:szCs w:val="24"/>
          <w:highlight w:val="none"/>
        </w:rPr>
        <w:t>4</w:t>
      </w:r>
      <w:r>
        <w:rPr>
          <w:rFonts w:ascii="宋体" w:hAnsi="宋体" w:eastAsia="宋体" w:cs="宋体"/>
          <w:color w:val="auto"/>
          <w:spacing w:val="-53"/>
          <w:sz w:val="24"/>
          <w:szCs w:val="24"/>
          <w:highlight w:val="none"/>
        </w:rPr>
        <w:t xml:space="preserve"> </w:t>
      </w:r>
      <w:r>
        <w:rPr>
          <w:rFonts w:ascii="宋体" w:hAnsi="宋体" w:eastAsia="宋体" w:cs="宋体"/>
          <w:color w:val="auto"/>
          <w:spacing w:val="-3"/>
          <w:sz w:val="24"/>
          <w:szCs w:val="24"/>
          <w:highlight w:val="none"/>
        </w:rPr>
        <w:t>份。</w:t>
      </w:r>
    </w:p>
    <w:p w14:paraId="22E6658D">
      <w:pPr>
        <w:keepNext w:val="0"/>
        <w:keepLines w:val="0"/>
        <w:pageBreakBefore w:val="0"/>
        <w:widowControl w:val="0"/>
        <w:kinsoku/>
        <w:wordWrap/>
        <w:overflowPunct/>
        <w:topLinePunct w:val="0"/>
        <w:autoSpaceDE/>
        <w:autoSpaceDN/>
        <w:bidi w:val="0"/>
        <w:adjustRightInd/>
        <w:snapToGrid/>
        <w:spacing w:before="155" w:line="360" w:lineRule="auto"/>
        <w:ind w:left="1429" w:right="1065" w:firstLine="481"/>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3.3 除采购人员工外，食堂有其他单位用餐</w:t>
      </w:r>
      <w:r>
        <w:rPr>
          <w:rFonts w:ascii="宋体" w:hAnsi="宋体" w:eastAsia="宋体" w:cs="宋体"/>
          <w:color w:val="auto"/>
          <w:spacing w:val="-1"/>
          <w:sz w:val="24"/>
          <w:szCs w:val="24"/>
          <w:highlight w:val="none"/>
        </w:rPr>
        <w:t>，需经采购人书面同意。其他单位人员餐</w:t>
      </w:r>
      <w:r>
        <w:rPr>
          <w:rFonts w:ascii="宋体" w:hAnsi="宋体" w:eastAsia="宋体" w:cs="宋体"/>
          <w:color w:val="auto"/>
          <w:spacing w:val="-5"/>
          <w:sz w:val="24"/>
          <w:szCs w:val="24"/>
          <w:highlight w:val="none"/>
        </w:rPr>
        <w:t>费标准、结算规则由投标人与其他用餐单位自行协商结算，餐费由其他用餐单位自行支付，不纳入本次合同总额。</w:t>
      </w:r>
    </w:p>
    <w:p w14:paraId="5FFC84AA">
      <w:pPr>
        <w:keepNext w:val="0"/>
        <w:keepLines w:val="0"/>
        <w:pageBreakBefore w:val="0"/>
        <w:widowControl w:val="0"/>
        <w:kinsoku/>
        <w:wordWrap/>
        <w:overflowPunct/>
        <w:topLinePunct w:val="0"/>
        <w:autoSpaceDE/>
        <w:autoSpaceDN/>
        <w:bidi w:val="0"/>
        <w:adjustRightInd/>
        <w:snapToGrid/>
        <w:spacing w:before="2" w:line="360" w:lineRule="auto"/>
        <w:ind w:left="1425" w:right="1131" w:firstLine="485"/>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3.4 投标单位应有健全的内部管理制度</w:t>
      </w:r>
      <w:r>
        <w:rPr>
          <w:rFonts w:ascii="宋体" w:hAnsi="宋体" w:eastAsia="宋体" w:cs="宋体"/>
          <w:color w:val="auto"/>
          <w:spacing w:val="-1"/>
          <w:sz w:val="24"/>
          <w:szCs w:val="24"/>
          <w:highlight w:val="none"/>
        </w:rPr>
        <w:t>、措施，包括但不限于：食堂工作人员管理与考核制度、食堂环境卫生及安全节能管理制度、食堂工作人员岗位职责、食堂日常检查监</w:t>
      </w:r>
      <w:r>
        <w:rPr>
          <w:rFonts w:ascii="宋体" w:hAnsi="宋体" w:eastAsia="宋体" w:cs="宋体"/>
          <w:color w:val="auto"/>
          <w:sz w:val="24"/>
          <w:szCs w:val="24"/>
          <w:highlight w:val="none"/>
        </w:rPr>
        <w:t>督制度、食堂文明服务、食堂文明服务制度、食堂工</w:t>
      </w:r>
      <w:r>
        <w:rPr>
          <w:rFonts w:ascii="宋体" w:hAnsi="宋体" w:eastAsia="宋体" w:cs="宋体"/>
          <w:color w:val="auto"/>
          <w:spacing w:val="-1"/>
          <w:sz w:val="24"/>
          <w:szCs w:val="24"/>
          <w:highlight w:val="none"/>
        </w:rPr>
        <w:t>作人员绩效考核制度、食堂突发事件</w:t>
      </w:r>
      <w:r>
        <w:rPr>
          <w:rFonts w:ascii="宋体" w:hAnsi="宋体" w:eastAsia="宋体" w:cs="宋体"/>
          <w:color w:val="auto"/>
          <w:spacing w:val="-5"/>
          <w:sz w:val="24"/>
          <w:szCs w:val="24"/>
          <w:highlight w:val="none"/>
        </w:rPr>
        <w:t>应急处置预案等。</w:t>
      </w:r>
    </w:p>
    <w:p w14:paraId="6E37ED58">
      <w:pPr>
        <w:keepNext w:val="0"/>
        <w:keepLines w:val="0"/>
        <w:pageBreakBefore w:val="0"/>
        <w:widowControl w:val="0"/>
        <w:kinsoku/>
        <w:wordWrap/>
        <w:overflowPunct/>
        <w:topLinePunct w:val="0"/>
        <w:autoSpaceDE/>
        <w:autoSpaceDN/>
        <w:bidi w:val="0"/>
        <w:adjustRightInd/>
        <w:snapToGrid/>
        <w:spacing w:before="40" w:line="360" w:lineRule="auto"/>
        <w:ind w:left="1911"/>
        <w:textAlignment w:val="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3.5</w:t>
      </w:r>
      <w:r>
        <w:rPr>
          <w:rFonts w:ascii="宋体" w:hAnsi="宋体" w:eastAsia="宋体" w:cs="宋体"/>
          <w:color w:val="auto"/>
          <w:spacing w:val="-26"/>
          <w:sz w:val="24"/>
          <w:szCs w:val="24"/>
          <w:highlight w:val="none"/>
        </w:rPr>
        <w:t xml:space="preserve"> </w:t>
      </w:r>
      <w:r>
        <w:rPr>
          <w:rFonts w:ascii="宋体" w:hAnsi="宋体" w:eastAsia="宋体" w:cs="宋体"/>
          <w:color w:val="auto"/>
          <w:spacing w:val="-4"/>
          <w:sz w:val="24"/>
          <w:szCs w:val="24"/>
          <w:highlight w:val="none"/>
        </w:rPr>
        <w:t>临时性餐饮服务及节假日不另计服务费。</w:t>
      </w:r>
    </w:p>
    <w:p w14:paraId="6EE839CD">
      <w:pPr>
        <w:keepNext w:val="0"/>
        <w:keepLines w:val="0"/>
        <w:pageBreakBefore w:val="0"/>
        <w:widowControl w:val="0"/>
        <w:kinsoku/>
        <w:wordWrap/>
        <w:overflowPunct/>
        <w:topLinePunct w:val="0"/>
        <w:autoSpaceDE/>
        <w:autoSpaceDN/>
        <w:bidi w:val="0"/>
        <w:adjustRightInd/>
        <w:snapToGrid/>
        <w:spacing w:before="215" w:line="360" w:lineRule="auto"/>
        <w:ind w:left="1424" w:right="1131" w:firstLine="486"/>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3.6 投标人应该建立征求意见制度，便</w:t>
      </w:r>
      <w:r>
        <w:rPr>
          <w:rFonts w:ascii="宋体" w:hAnsi="宋体" w:eastAsia="宋体" w:cs="宋体"/>
          <w:color w:val="auto"/>
          <w:spacing w:val="-1"/>
          <w:sz w:val="24"/>
          <w:szCs w:val="24"/>
          <w:highlight w:val="none"/>
        </w:rPr>
        <w:t>于采购人对委托项目进行职工意见汇集、满意</w:t>
      </w:r>
      <w:r>
        <w:rPr>
          <w:rFonts w:ascii="宋体" w:hAnsi="宋体" w:eastAsia="宋体" w:cs="宋体"/>
          <w:color w:val="auto"/>
          <w:spacing w:val="-3"/>
          <w:sz w:val="24"/>
          <w:szCs w:val="24"/>
          <w:highlight w:val="none"/>
        </w:rPr>
        <w:t>度测评、投票等管理工作。</w:t>
      </w:r>
    </w:p>
    <w:p w14:paraId="6DCC8952">
      <w:pPr>
        <w:keepNext w:val="0"/>
        <w:keepLines w:val="0"/>
        <w:pageBreakBefore w:val="0"/>
        <w:widowControl w:val="0"/>
        <w:kinsoku/>
        <w:wordWrap/>
        <w:overflowPunct/>
        <w:topLinePunct w:val="0"/>
        <w:autoSpaceDE/>
        <w:autoSpaceDN/>
        <w:bidi w:val="0"/>
        <w:adjustRightInd/>
        <w:snapToGrid/>
        <w:spacing w:line="360" w:lineRule="auto"/>
        <w:ind w:left="1423" w:right="1132" w:firstLine="487"/>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3.7</w:t>
      </w:r>
      <w:r>
        <w:rPr>
          <w:rFonts w:ascii="宋体" w:hAnsi="宋体" w:eastAsia="宋体" w:cs="宋体"/>
          <w:color w:val="auto"/>
          <w:spacing w:val="-38"/>
          <w:sz w:val="24"/>
          <w:szCs w:val="24"/>
          <w:highlight w:val="none"/>
        </w:rPr>
        <w:t xml:space="preserve"> </w:t>
      </w:r>
      <w:r>
        <w:rPr>
          <w:rFonts w:ascii="宋体" w:hAnsi="宋体" w:eastAsia="宋体" w:cs="宋体"/>
          <w:color w:val="auto"/>
          <w:spacing w:val="-6"/>
          <w:sz w:val="24"/>
          <w:szCs w:val="24"/>
          <w:highlight w:val="none"/>
        </w:rPr>
        <w:t>投标人中标后，在与采购人签订年度合同后十五日内应负责为所承包食堂办理《食</w:t>
      </w:r>
      <w:r>
        <w:rPr>
          <w:rFonts w:ascii="宋体" w:hAnsi="宋体" w:eastAsia="宋体" w:cs="宋体"/>
          <w:color w:val="auto"/>
          <w:sz w:val="24"/>
          <w:szCs w:val="24"/>
          <w:highlight w:val="none"/>
        </w:rPr>
        <w:t>品经营许可证》及证书后续变更、延续工作，并严格按照</w:t>
      </w:r>
      <w:r>
        <w:rPr>
          <w:rFonts w:ascii="宋体" w:hAnsi="宋体" w:eastAsia="宋体" w:cs="宋体"/>
          <w:color w:val="auto"/>
          <w:spacing w:val="-1"/>
          <w:sz w:val="24"/>
          <w:szCs w:val="24"/>
          <w:highlight w:val="none"/>
        </w:rPr>
        <w:t>国家食品经营有关法律法规开展</w:t>
      </w:r>
      <w:r>
        <w:rPr>
          <w:rFonts w:ascii="宋体" w:hAnsi="宋体" w:eastAsia="宋体" w:cs="宋体"/>
          <w:color w:val="auto"/>
          <w:sz w:val="24"/>
          <w:szCs w:val="24"/>
          <w:highlight w:val="none"/>
        </w:rPr>
        <w:t>经营。如中标人未按规定完成《食品经营许可证》办理及</w:t>
      </w:r>
      <w:r>
        <w:rPr>
          <w:rFonts w:ascii="宋体" w:hAnsi="宋体" w:eastAsia="宋体" w:cs="宋体"/>
          <w:color w:val="auto"/>
          <w:spacing w:val="-1"/>
          <w:sz w:val="24"/>
          <w:szCs w:val="24"/>
          <w:highlight w:val="none"/>
        </w:rPr>
        <w:t>证书后续变更、延续等工作，采</w:t>
      </w:r>
      <w:r>
        <w:rPr>
          <w:rFonts w:ascii="宋体" w:hAnsi="宋体" w:eastAsia="宋体" w:cs="宋体"/>
          <w:color w:val="auto"/>
          <w:spacing w:val="-2"/>
          <w:sz w:val="24"/>
          <w:szCs w:val="24"/>
          <w:highlight w:val="none"/>
        </w:rPr>
        <w:t>购人有权单方解除合同，并要求支付合同价款的</w:t>
      </w:r>
      <w:r>
        <w:rPr>
          <w:rFonts w:ascii="宋体" w:hAnsi="宋体" w:eastAsia="宋体" w:cs="宋体"/>
          <w:color w:val="auto"/>
          <w:spacing w:val="-40"/>
          <w:sz w:val="24"/>
          <w:szCs w:val="24"/>
          <w:highlight w:val="none"/>
        </w:rPr>
        <w:t xml:space="preserve"> </w:t>
      </w:r>
      <w:r>
        <w:rPr>
          <w:rFonts w:ascii="宋体" w:hAnsi="宋体" w:eastAsia="宋体" w:cs="宋体"/>
          <w:color w:val="auto"/>
          <w:spacing w:val="-2"/>
          <w:sz w:val="24"/>
          <w:szCs w:val="24"/>
          <w:highlight w:val="none"/>
        </w:rPr>
        <w:t>5%作为违约金。</w:t>
      </w:r>
    </w:p>
    <w:p w14:paraId="2AFBFFEA">
      <w:pPr>
        <w:keepNext w:val="0"/>
        <w:keepLines w:val="0"/>
        <w:pageBreakBefore w:val="0"/>
        <w:widowControl w:val="0"/>
        <w:kinsoku/>
        <w:wordWrap/>
        <w:overflowPunct/>
        <w:topLinePunct w:val="0"/>
        <w:autoSpaceDE/>
        <w:autoSpaceDN/>
        <w:bidi w:val="0"/>
        <w:adjustRightInd/>
        <w:snapToGrid/>
        <w:spacing w:line="360" w:lineRule="auto"/>
        <w:ind w:left="1425" w:right="1131" w:firstLine="485"/>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3.8 中标人承包食堂期间，应当严格按</w:t>
      </w:r>
      <w:r>
        <w:rPr>
          <w:rFonts w:ascii="宋体" w:hAnsi="宋体" w:eastAsia="宋体" w:cs="宋体"/>
          <w:color w:val="auto"/>
          <w:spacing w:val="-1"/>
          <w:sz w:val="24"/>
          <w:szCs w:val="24"/>
          <w:highlight w:val="none"/>
        </w:rPr>
        <w:t>照食品安全卫生法律法规从事采购、验收、存</w:t>
      </w:r>
      <w:r>
        <w:rPr>
          <w:rFonts w:ascii="宋体" w:hAnsi="宋体" w:eastAsia="宋体" w:cs="宋体"/>
          <w:color w:val="auto"/>
          <w:sz w:val="24"/>
          <w:szCs w:val="24"/>
          <w:highlight w:val="none"/>
        </w:rPr>
        <w:t>放、加工、消毒、保洁等工作，若发生食品安全事故</w:t>
      </w:r>
      <w:r>
        <w:rPr>
          <w:rFonts w:ascii="宋体" w:hAnsi="宋体" w:eastAsia="宋体" w:cs="宋体"/>
          <w:color w:val="auto"/>
          <w:spacing w:val="-1"/>
          <w:sz w:val="24"/>
          <w:szCs w:val="24"/>
          <w:highlight w:val="none"/>
        </w:rPr>
        <w:t>一切责任由中标人承担。如采购人因此承担相应的责任，有权向中标人追偿，并要求赔偿因此造成采购人的其他损</w:t>
      </w:r>
      <w:r>
        <w:rPr>
          <w:rFonts w:ascii="宋体" w:hAnsi="宋体" w:eastAsia="宋体" w:cs="宋体"/>
          <w:color w:val="auto"/>
          <w:spacing w:val="-2"/>
          <w:sz w:val="24"/>
          <w:szCs w:val="24"/>
          <w:highlight w:val="none"/>
        </w:rPr>
        <w:t>失。</w:t>
      </w:r>
    </w:p>
    <w:p w14:paraId="5B13FDA7">
      <w:pPr>
        <w:keepNext w:val="0"/>
        <w:keepLines w:val="0"/>
        <w:pageBreakBefore w:val="0"/>
        <w:widowControl w:val="0"/>
        <w:kinsoku/>
        <w:wordWrap/>
        <w:overflowPunct/>
        <w:topLinePunct w:val="0"/>
        <w:autoSpaceDE/>
        <w:autoSpaceDN/>
        <w:bidi w:val="0"/>
        <w:adjustRightInd/>
        <w:snapToGrid/>
        <w:spacing w:line="360" w:lineRule="auto"/>
        <w:ind w:left="1430" w:right="1067" w:firstLine="48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3.9 采购人对照食品安全、环境卫生检</w:t>
      </w:r>
      <w:r>
        <w:rPr>
          <w:rFonts w:ascii="宋体" w:hAnsi="宋体" w:eastAsia="宋体" w:cs="宋体"/>
          <w:color w:val="auto"/>
          <w:spacing w:val="-1"/>
          <w:sz w:val="24"/>
          <w:szCs w:val="24"/>
          <w:highlight w:val="none"/>
        </w:rPr>
        <w:t>查标准、消防要求，如发现有不达标项目，视</w:t>
      </w:r>
      <w:r>
        <w:rPr>
          <w:rFonts w:ascii="宋体" w:hAnsi="宋体" w:eastAsia="宋体" w:cs="宋体"/>
          <w:color w:val="auto"/>
          <w:spacing w:val="-2"/>
          <w:sz w:val="24"/>
          <w:szCs w:val="24"/>
          <w:highlight w:val="none"/>
        </w:rPr>
        <w:t>具体情况，每次每项从服务费中扣除</w:t>
      </w:r>
      <w:r>
        <w:rPr>
          <w:rFonts w:ascii="宋体" w:hAnsi="宋体" w:eastAsia="宋体" w:cs="宋体"/>
          <w:color w:val="auto"/>
          <w:spacing w:val="-32"/>
          <w:sz w:val="24"/>
          <w:szCs w:val="24"/>
          <w:highlight w:val="none"/>
        </w:rPr>
        <w:t xml:space="preserve"> </w:t>
      </w:r>
      <w:r>
        <w:rPr>
          <w:rFonts w:ascii="宋体" w:hAnsi="宋体" w:eastAsia="宋体" w:cs="宋体"/>
          <w:color w:val="auto"/>
          <w:spacing w:val="-2"/>
          <w:sz w:val="24"/>
          <w:szCs w:val="24"/>
          <w:highlight w:val="none"/>
        </w:rPr>
        <w:t>500</w:t>
      </w:r>
      <w:r>
        <w:rPr>
          <w:rFonts w:ascii="宋体" w:hAnsi="宋体" w:eastAsia="宋体" w:cs="宋体"/>
          <w:color w:val="auto"/>
          <w:spacing w:val="-50"/>
          <w:sz w:val="24"/>
          <w:szCs w:val="24"/>
          <w:highlight w:val="none"/>
        </w:rPr>
        <w:t xml:space="preserve"> </w:t>
      </w:r>
      <w:r>
        <w:rPr>
          <w:rFonts w:ascii="宋体" w:hAnsi="宋体" w:eastAsia="宋体" w:cs="宋体"/>
          <w:color w:val="auto"/>
          <w:spacing w:val="-2"/>
          <w:sz w:val="24"/>
          <w:szCs w:val="24"/>
          <w:highlight w:val="none"/>
        </w:rPr>
        <w:t>元。因中标人工作人员未遵守食品安全或安全消</w:t>
      </w:r>
      <w:r>
        <w:rPr>
          <w:rFonts w:ascii="宋体" w:hAnsi="宋体" w:eastAsia="宋体" w:cs="宋体"/>
          <w:color w:val="auto"/>
          <w:spacing w:val="-3"/>
          <w:sz w:val="24"/>
          <w:szCs w:val="24"/>
          <w:highlight w:val="none"/>
        </w:rPr>
        <w:t>防规定引发的行政处罚，罚款由中标人承担，并且甲方有权按次从服务费中扣除</w:t>
      </w:r>
      <w:r>
        <w:rPr>
          <w:rFonts w:ascii="宋体" w:hAnsi="宋体" w:eastAsia="宋体" w:cs="宋体"/>
          <w:color w:val="auto"/>
          <w:spacing w:val="-21"/>
          <w:sz w:val="24"/>
          <w:szCs w:val="24"/>
          <w:highlight w:val="none"/>
        </w:rPr>
        <w:t xml:space="preserve"> </w:t>
      </w:r>
      <w:r>
        <w:rPr>
          <w:rFonts w:ascii="宋体" w:hAnsi="宋体" w:eastAsia="宋体" w:cs="宋体"/>
          <w:color w:val="auto"/>
          <w:spacing w:val="-3"/>
          <w:sz w:val="24"/>
          <w:szCs w:val="24"/>
          <w:highlight w:val="none"/>
        </w:rPr>
        <w:t>1000</w:t>
      </w:r>
      <w:r>
        <w:rPr>
          <w:rFonts w:ascii="宋体" w:hAnsi="宋体" w:eastAsia="宋体" w:cs="宋体"/>
          <w:color w:val="auto"/>
          <w:spacing w:val="-51"/>
          <w:sz w:val="24"/>
          <w:szCs w:val="24"/>
          <w:highlight w:val="none"/>
        </w:rPr>
        <w:t xml:space="preserve"> </w:t>
      </w:r>
      <w:r>
        <w:rPr>
          <w:rFonts w:ascii="宋体" w:hAnsi="宋体" w:eastAsia="宋体" w:cs="宋体"/>
          <w:color w:val="auto"/>
          <w:spacing w:val="-3"/>
          <w:sz w:val="24"/>
          <w:szCs w:val="24"/>
          <w:highlight w:val="none"/>
        </w:rPr>
        <w:t>元，</w:t>
      </w:r>
      <w:r>
        <w:rPr>
          <w:rFonts w:ascii="宋体" w:hAnsi="宋体" w:eastAsia="宋体" w:cs="宋体"/>
          <w:color w:val="auto"/>
          <w:spacing w:val="-2"/>
          <w:sz w:val="24"/>
          <w:szCs w:val="24"/>
          <w:highlight w:val="none"/>
        </w:rPr>
        <w:t>因中标人原因累计被处罚达到三次或以上的，采购人有权提前终止合同。</w:t>
      </w:r>
    </w:p>
    <w:p w14:paraId="254BAC4B">
      <w:pPr>
        <w:keepNext w:val="0"/>
        <w:keepLines w:val="0"/>
        <w:pageBreakBefore w:val="0"/>
        <w:widowControl w:val="0"/>
        <w:kinsoku/>
        <w:wordWrap/>
        <w:overflowPunct/>
        <w:topLinePunct w:val="0"/>
        <w:autoSpaceDE/>
        <w:autoSpaceDN/>
        <w:bidi w:val="0"/>
        <w:adjustRightInd/>
        <w:snapToGrid/>
        <w:spacing w:before="1" w:line="360" w:lineRule="auto"/>
        <w:ind w:left="1426" w:right="1136" w:firstLine="484"/>
        <w:textAlignment w:val="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3.10</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中标人应做好安检、卫生、消防等方面的安全措施，防止投毒、火灾、摔跤等意</w:t>
      </w:r>
      <w:r>
        <w:rPr>
          <w:rFonts w:ascii="宋体" w:hAnsi="宋体" w:eastAsia="宋体" w:cs="宋体"/>
          <w:color w:val="auto"/>
          <w:spacing w:val="-1"/>
          <w:sz w:val="24"/>
          <w:szCs w:val="24"/>
          <w:highlight w:val="none"/>
        </w:rPr>
        <w:t>外情况的发生。因中标人提供食堂外包服务过程中造成的第三人（含采购人员工）人身、财产损害的，中标人应当承担侵权责任，并赔偿</w:t>
      </w:r>
      <w:r>
        <w:rPr>
          <w:rFonts w:ascii="宋体" w:hAnsi="宋体" w:eastAsia="宋体" w:cs="宋体"/>
          <w:color w:val="auto"/>
          <w:spacing w:val="-2"/>
          <w:sz w:val="24"/>
          <w:szCs w:val="24"/>
          <w:highlight w:val="none"/>
        </w:rPr>
        <w:t>给第三人造成的损失。</w:t>
      </w:r>
    </w:p>
    <w:p w14:paraId="398BBDDE">
      <w:pPr>
        <w:keepNext w:val="0"/>
        <w:keepLines w:val="0"/>
        <w:pageBreakBefore w:val="0"/>
        <w:widowControl w:val="0"/>
        <w:kinsoku/>
        <w:wordWrap/>
        <w:overflowPunct/>
        <w:topLinePunct w:val="0"/>
        <w:autoSpaceDE/>
        <w:autoSpaceDN/>
        <w:bidi w:val="0"/>
        <w:adjustRightInd/>
        <w:snapToGrid/>
        <w:spacing w:before="1" w:line="360" w:lineRule="auto"/>
        <w:ind w:left="1424" w:right="1132" w:firstLine="486"/>
        <w:textAlignment w:val="auto"/>
        <w:rPr>
          <w:rFonts w:ascii="宋体" w:hAnsi="宋体" w:eastAsia="宋体" w:cs="宋体"/>
          <w:color w:val="auto"/>
          <w:spacing w:val="-1"/>
          <w:sz w:val="24"/>
          <w:szCs w:val="24"/>
          <w:highlight w:val="none"/>
        </w:rPr>
      </w:pPr>
      <w:r>
        <w:rPr>
          <w:rFonts w:ascii="宋体" w:hAnsi="宋体" w:eastAsia="宋体" w:cs="宋体"/>
          <w:color w:val="auto"/>
          <w:spacing w:val="-3"/>
          <w:sz w:val="24"/>
          <w:szCs w:val="24"/>
          <w:highlight w:val="none"/>
        </w:rPr>
        <w:t>3.11</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中标后，采购人将对中标人拟派驻的工作人员的道德品质、身体健康状况、专业</w:t>
      </w:r>
      <w:r>
        <w:rPr>
          <w:rFonts w:ascii="宋体" w:hAnsi="宋体" w:eastAsia="宋体" w:cs="宋体"/>
          <w:color w:val="auto"/>
          <w:sz w:val="24"/>
          <w:szCs w:val="24"/>
          <w:highlight w:val="none"/>
        </w:rPr>
        <w:t>业务水平、综合素质等进行审核，如审核不合格，采购</w:t>
      </w:r>
      <w:r>
        <w:rPr>
          <w:rFonts w:ascii="宋体" w:hAnsi="宋体" w:eastAsia="宋体" w:cs="宋体"/>
          <w:color w:val="auto"/>
          <w:spacing w:val="-1"/>
          <w:sz w:val="24"/>
          <w:szCs w:val="24"/>
          <w:highlight w:val="none"/>
        </w:rPr>
        <w:t>人有权要求中标人重新提供符合采</w:t>
      </w:r>
    </w:p>
    <w:p w14:paraId="77E4B9B7">
      <w:pPr>
        <w:keepNext w:val="0"/>
        <w:keepLines w:val="0"/>
        <w:pageBreakBefore w:val="0"/>
        <w:widowControl w:val="0"/>
        <w:kinsoku/>
        <w:wordWrap/>
        <w:overflowPunct/>
        <w:topLinePunct w:val="0"/>
        <w:autoSpaceDE/>
        <w:autoSpaceDN/>
        <w:bidi w:val="0"/>
        <w:adjustRightInd/>
        <w:snapToGrid/>
        <w:spacing w:before="78" w:line="360" w:lineRule="auto"/>
        <w:ind w:left="1476" w:leftChars="703" w:right="985" w:rightChars="469" w:firstLine="0" w:firstLineChars="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购人要求的工作人员，直到达到采购人要求为</w:t>
      </w:r>
      <w:r>
        <w:rPr>
          <w:rFonts w:ascii="宋体" w:hAnsi="宋体" w:eastAsia="宋体" w:cs="宋体"/>
          <w:color w:val="auto"/>
          <w:spacing w:val="-1"/>
          <w:sz w:val="24"/>
          <w:szCs w:val="24"/>
          <w:highlight w:val="none"/>
        </w:rPr>
        <w:t>止。中标人聘用人员和更换工作人员必须按</w:t>
      </w:r>
      <w:r>
        <w:rPr>
          <w:rFonts w:ascii="宋体" w:hAnsi="宋体" w:eastAsia="宋体" w:cs="宋体"/>
          <w:color w:val="auto"/>
          <w:spacing w:val="-4"/>
          <w:sz w:val="24"/>
          <w:szCs w:val="24"/>
          <w:highlight w:val="none"/>
        </w:rPr>
        <w:t>采购人规定时间到位。</w:t>
      </w:r>
    </w:p>
    <w:p w14:paraId="705BD1EA">
      <w:pPr>
        <w:keepNext w:val="0"/>
        <w:keepLines w:val="0"/>
        <w:pageBreakBefore w:val="0"/>
        <w:widowControl w:val="0"/>
        <w:kinsoku/>
        <w:wordWrap/>
        <w:overflowPunct/>
        <w:topLinePunct w:val="0"/>
        <w:autoSpaceDE/>
        <w:autoSpaceDN/>
        <w:bidi w:val="0"/>
        <w:adjustRightInd/>
        <w:snapToGrid/>
        <w:spacing w:before="12" w:line="360" w:lineRule="auto"/>
        <w:ind w:left="1476" w:leftChars="703" w:right="985" w:rightChars="469" w:firstLine="0" w:firstLineChars="0"/>
        <w:jc w:val="both"/>
        <w:textAlignment w:val="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宋体" w:hAnsi="宋体" w:eastAsia="宋体" w:cs="宋体"/>
          <w:b/>
          <w:bCs/>
          <w:color w:val="auto"/>
          <w:spacing w:val="-6"/>
          <w:sz w:val="24"/>
          <w:szCs w:val="24"/>
          <w:highlight w:val="none"/>
        </w:rPr>
        <w:t>4、服务时间：</w:t>
      </w:r>
      <w:r>
        <w:rPr>
          <w:rFonts w:ascii="宋体" w:hAnsi="宋体" w:eastAsia="宋体" w:cs="宋体"/>
          <w:color w:val="auto"/>
          <w:spacing w:val="-6"/>
          <w:sz w:val="24"/>
          <w:szCs w:val="24"/>
          <w:highlight w:val="none"/>
        </w:rPr>
        <w:t>采购服务周期为</w:t>
      </w:r>
      <w:r>
        <w:rPr>
          <w:rFonts w:hint="eastAsia" w:ascii="宋体" w:hAnsi="宋体" w:cs="宋体"/>
          <w:color w:val="auto"/>
          <w:spacing w:val="-6"/>
          <w:sz w:val="24"/>
          <w:szCs w:val="24"/>
          <w:highlight w:val="none"/>
          <w:lang w:val="en-US" w:eastAsia="zh-CN"/>
        </w:rPr>
        <w:t>二</w:t>
      </w:r>
      <w:r>
        <w:rPr>
          <w:rFonts w:ascii="宋体" w:hAnsi="宋体" w:eastAsia="宋体" w:cs="宋体"/>
          <w:color w:val="auto"/>
          <w:spacing w:val="-6"/>
          <w:sz w:val="24"/>
          <w:szCs w:val="24"/>
          <w:highlight w:val="none"/>
        </w:rPr>
        <w:t>年，合同一年一签，服务周期内，中标人须与采</w:t>
      </w:r>
      <w:r>
        <w:rPr>
          <w:rFonts w:ascii="宋体" w:hAnsi="宋体" w:eastAsia="宋体" w:cs="宋体"/>
          <w:color w:val="auto"/>
          <w:sz w:val="24"/>
          <w:szCs w:val="24"/>
          <w:highlight w:val="none"/>
        </w:rPr>
        <w:t>购人签订第一年度合同，合同履行过程中，采购人将根据</w:t>
      </w:r>
      <w:r>
        <w:rPr>
          <w:rFonts w:ascii="宋体" w:hAnsi="宋体" w:eastAsia="宋体" w:cs="宋体"/>
          <w:color w:val="auto"/>
          <w:spacing w:val="-1"/>
          <w:sz w:val="24"/>
          <w:szCs w:val="24"/>
          <w:highlight w:val="none"/>
        </w:rPr>
        <w:t>自身的相关制度对中标人的服务</w:t>
      </w:r>
      <w:r>
        <w:rPr>
          <w:rFonts w:ascii="宋体" w:hAnsi="宋体" w:eastAsia="宋体" w:cs="宋体"/>
          <w:color w:val="auto"/>
          <w:sz w:val="24"/>
          <w:szCs w:val="24"/>
          <w:highlight w:val="none"/>
        </w:rPr>
        <w:t>开展年度审核，根据年度审核的结果，采购人将在年度合同到期前</w:t>
      </w:r>
      <w:r>
        <w:rPr>
          <w:rFonts w:ascii="宋体" w:hAnsi="宋体" w:eastAsia="宋体" w:cs="宋体"/>
          <w:color w:val="auto"/>
          <w:spacing w:val="-1"/>
          <w:sz w:val="24"/>
          <w:szCs w:val="24"/>
          <w:highlight w:val="none"/>
        </w:rPr>
        <w:t>通知中标人是否由其继</w:t>
      </w:r>
      <w:r>
        <w:rPr>
          <w:rFonts w:ascii="宋体" w:hAnsi="宋体" w:eastAsia="宋体" w:cs="宋体"/>
          <w:color w:val="auto"/>
          <w:spacing w:val="-5"/>
          <w:sz w:val="24"/>
          <w:szCs w:val="24"/>
          <w:highlight w:val="none"/>
        </w:rPr>
        <w:t>续提供下一年度的服务，中标人对于采购人的决定无条件接受，如由中标人继续提供服务，</w:t>
      </w:r>
      <w:r>
        <w:rPr>
          <w:rFonts w:ascii="宋体" w:hAnsi="宋体" w:eastAsia="宋体" w:cs="宋体"/>
          <w:color w:val="auto"/>
          <w:spacing w:val="-1"/>
          <w:sz w:val="24"/>
          <w:szCs w:val="24"/>
          <w:highlight w:val="none"/>
        </w:rPr>
        <w:t>采购人将与中标人按照中标单价以及约定提供的服务内容继续签订下一年度合同。</w:t>
      </w:r>
    </w:p>
    <w:p w14:paraId="036B5DAF">
      <w:pPr>
        <w:keepNext w:val="0"/>
        <w:keepLines w:val="0"/>
        <w:pageBreakBefore w:val="0"/>
        <w:widowControl w:val="0"/>
        <w:kinsoku/>
        <w:wordWrap/>
        <w:overflowPunct/>
        <w:topLinePunct w:val="0"/>
        <w:autoSpaceDE/>
        <w:autoSpaceDN/>
        <w:bidi w:val="0"/>
        <w:adjustRightInd/>
        <w:snapToGrid/>
        <w:spacing w:line="360" w:lineRule="auto"/>
        <w:ind w:left="0" w:leftChars="0" w:firstLine="1486" w:firstLineChars="627"/>
        <w:textAlignment w:val="auto"/>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5、服务标准</w:t>
      </w:r>
      <w:r>
        <w:rPr>
          <w:rFonts w:ascii="宋体" w:hAnsi="宋体" w:eastAsia="宋体" w:cs="宋体"/>
          <w:color w:val="auto"/>
          <w:spacing w:val="-2"/>
          <w:sz w:val="24"/>
          <w:szCs w:val="24"/>
          <w:highlight w:val="none"/>
        </w:rPr>
        <w:t>：各类食品卫生均应符合国家的最新执行标准。</w:t>
      </w:r>
    </w:p>
    <w:p w14:paraId="29C29533">
      <w:pPr>
        <w:keepNext w:val="0"/>
        <w:keepLines w:val="0"/>
        <w:pageBreakBefore w:val="0"/>
        <w:widowControl w:val="0"/>
        <w:kinsoku/>
        <w:wordWrap/>
        <w:overflowPunct/>
        <w:topLinePunct w:val="0"/>
        <w:autoSpaceDE/>
        <w:autoSpaceDN/>
        <w:bidi w:val="0"/>
        <w:adjustRightInd/>
        <w:snapToGrid/>
        <w:spacing w:before="179" w:line="360" w:lineRule="auto"/>
        <w:ind w:left="0" w:leftChars="0" w:firstLine="1485" w:firstLineChars="632"/>
        <w:textAlignment w:val="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三、付款方式与履约保证金</w:t>
      </w:r>
    </w:p>
    <w:p w14:paraId="4017A76A">
      <w:pPr>
        <w:keepNext w:val="0"/>
        <w:keepLines w:val="0"/>
        <w:pageBreakBefore w:val="0"/>
        <w:widowControl w:val="0"/>
        <w:kinsoku/>
        <w:wordWrap/>
        <w:overflowPunct/>
        <w:topLinePunct w:val="0"/>
        <w:autoSpaceDE/>
        <w:autoSpaceDN/>
        <w:bidi w:val="0"/>
        <w:adjustRightInd/>
        <w:snapToGrid/>
        <w:spacing w:before="185" w:line="360" w:lineRule="auto"/>
        <w:ind w:left="0" w:leftChars="0" w:firstLine="1485" w:firstLineChars="632"/>
        <w:textAlignment w:val="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1、付款方式</w:t>
      </w:r>
      <w:r>
        <w:rPr>
          <w:rFonts w:ascii="宋体" w:hAnsi="宋体" w:eastAsia="宋体" w:cs="宋体"/>
          <w:color w:val="auto"/>
          <w:spacing w:val="-3"/>
          <w:sz w:val="24"/>
          <w:szCs w:val="24"/>
          <w:highlight w:val="none"/>
        </w:rPr>
        <w:t>：</w:t>
      </w:r>
    </w:p>
    <w:p w14:paraId="512AA64D">
      <w:pPr>
        <w:spacing w:before="5" w:line="431" w:lineRule="auto"/>
        <w:ind w:left="1477" w:leftChars="680" w:right="985" w:rightChars="0" w:hanging="49" w:hangingChars="21"/>
        <w:jc w:val="both"/>
        <w:rPr>
          <w:rFonts w:hint="eastAsia" w:ascii="宋体" w:hAnsi="宋体" w:cs="宋体"/>
          <w:color w:val="auto"/>
          <w:spacing w:val="-1"/>
          <w:sz w:val="24"/>
          <w:szCs w:val="24"/>
          <w:highlight w:val="none"/>
          <w:lang w:eastAsia="zh-CN"/>
        </w:rPr>
      </w:pPr>
      <w:r>
        <w:rPr>
          <w:rFonts w:ascii="宋体" w:hAnsi="宋体" w:eastAsia="宋体" w:cs="宋体"/>
          <w:b/>
          <w:bCs/>
          <w:color w:val="auto"/>
          <w:spacing w:val="-3"/>
          <w:sz w:val="24"/>
          <w:szCs w:val="24"/>
          <w:highlight w:val="none"/>
        </w:rPr>
        <w:t>★</w:t>
      </w:r>
      <w:r>
        <w:rPr>
          <w:rFonts w:hint="eastAsia" w:ascii="宋体" w:hAnsi="宋体" w:cs="宋体"/>
          <w:color w:val="auto"/>
          <w:spacing w:val="-1"/>
          <w:sz w:val="24"/>
          <w:szCs w:val="24"/>
          <w:highlight w:val="none"/>
          <w:lang w:val="en-US" w:eastAsia="zh-CN"/>
        </w:rPr>
        <w:t>（1）支付方式：根据月度考核及用餐人数按月据实</w:t>
      </w:r>
      <w:r>
        <w:rPr>
          <w:rFonts w:hint="eastAsia" w:ascii="宋体" w:hAnsi="宋体" w:eastAsia="宋体" w:cs="宋体"/>
          <w:color w:val="auto"/>
          <w:spacing w:val="-1"/>
          <w:sz w:val="24"/>
          <w:szCs w:val="24"/>
          <w:highlight w:val="none"/>
        </w:rPr>
        <w:t>结算</w:t>
      </w:r>
      <w:r>
        <w:rPr>
          <w:rFonts w:hint="eastAsia" w:ascii="宋体" w:hAnsi="宋体" w:cs="宋体"/>
          <w:color w:val="auto"/>
          <w:spacing w:val="-1"/>
          <w:sz w:val="24"/>
          <w:szCs w:val="24"/>
          <w:highlight w:val="none"/>
          <w:lang w:eastAsia="zh-CN"/>
        </w:rPr>
        <w:t>。</w:t>
      </w:r>
    </w:p>
    <w:p w14:paraId="0FD1BCDD">
      <w:pPr>
        <w:keepNext w:val="0"/>
        <w:keepLines w:val="0"/>
        <w:pageBreakBefore w:val="0"/>
        <w:widowControl w:val="0"/>
        <w:kinsoku/>
        <w:wordWrap/>
        <w:overflowPunct/>
        <w:topLinePunct w:val="0"/>
        <w:autoSpaceDE/>
        <w:autoSpaceDN/>
        <w:bidi w:val="0"/>
        <w:adjustRightInd/>
        <w:snapToGrid/>
        <w:spacing w:before="9" w:line="360" w:lineRule="auto"/>
        <w:ind w:left="1476" w:leftChars="703" w:right="764" w:rightChars="364" w:firstLine="0" w:firstLineChars="0"/>
        <w:textAlignment w:val="auto"/>
        <w:rPr>
          <w:rFonts w:ascii="宋体" w:hAnsi="宋体" w:eastAsia="宋体" w:cs="宋体"/>
          <w:color w:val="auto"/>
          <w:spacing w:val="-1"/>
          <w:sz w:val="24"/>
          <w:szCs w:val="24"/>
          <w:highlight w:val="none"/>
        </w:rPr>
      </w:pPr>
      <w:r>
        <w:rPr>
          <w:rFonts w:ascii="宋体" w:hAnsi="宋体" w:eastAsia="宋体" w:cs="宋体"/>
          <w:color w:val="auto"/>
          <w:spacing w:val="-7"/>
          <w:sz w:val="24"/>
          <w:szCs w:val="24"/>
          <w:highlight w:val="none"/>
        </w:rPr>
        <w:t>注：上述款项支付时，</w:t>
      </w:r>
      <w:r>
        <w:rPr>
          <w:rFonts w:hint="eastAsia" w:ascii="宋体" w:hAnsi="宋体" w:cs="宋体"/>
          <w:color w:val="auto"/>
          <w:spacing w:val="-7"/>
          <w:sz w:val="24"/>
          <w:szCs w:val="24"/>
          <w:highlight w:val="none"/>
          <w:lang w:val="en-US" w:eastAsia="zh-CN"/>
        </w:rPr>
        <w:t>中标人</w:t>
      </w:r>
      <w:r>
        <w:rPr>
          <w:rFonts w:ascii="宋体" w:hAnsi="宋体" w:eastAsia="宋体" w:cs="宋体"/>
          <w:color w:val="auto"/>
          <w:spacing w:val="-7"/>
          <w:sz w:val="24"/>
          <w:szCs w:val="24"/>
          <w:highlight w:val="none"/>
        </w:rPr>
        <w:t>必须先向</w:t>
      </w:r>
      <w:r>
        <w:rPr>
          <w:rFonts w:hint="eastAsia" w:ascii="宋体" w:hAnsi="宋体" w:cs="宋体"/>
          <w:color w:val="auto"/>
          <w:spacing w:val="-7"/>
          <w:sz w:val="24"/>
          <w:szCs w:val="24"/>
          <w:highlight w:val="none"/>
          <w:lang w:val="en-US" w:eastAsia="zh-CN"/>
        </w:rPr>
        <w:t>采购人</w:t>
      </w:r>
      <w:r>
        <w:rPr>
          <w:rFonts w:ascii="宋体" w:hAnsi="宋体" w:eastAsia="宋体" w:cs="宋体"/>
          <w:color w:val="auto"/>
          <w:spacing w:val="-7"/>
          <w:sz w:val="24"/>
          <w:szCs w:val="24"/>
          <w:highlight w:val="none"/>
        </w:rPr>
        <w:t>提供符合税法的等额正规发票，否则迟延付款的责任由</w:t>
      </w:r>
      <w:r>
        <w:rPr>
          <w:rFonts w:hint="eastAsia" w:ascii="宋体" w:hAnsi="宋体" w:cs="宋体"/>
          <w:color w:val="auto"/>
          <w:spacing w:val="-7"/>
          <w:sz w:val="24"/>
          <w:szCs w:val="24"/>
          <w:highlight w:val="none"/>
          <w:lang w:val="en-US" w:eastAsia="zh-CN"/>
        </w:rPr>
        <w:t>中标人</w:t>
      </w:r>
      <w:r>
        <w:rPr>
          <w:rFonts w:ascii="宋体" w:hAnsi="宋体" w:eastAsia="宋体" w:cs="宋体"/>
          <w:color w:val="auto"/>
          <w:spacing w:val="-7"/>
          <w:sz w:val="24"/>
          <w:szCs w:val="24"/>
          <w:highlight w:val="none"/>
        </w:rPr>
        <w:t>自行承担。采购人对满足合同约定支付条件的项目自收到发票后10个工作日内将资金支付到约定的</w:t>
      </w:r>
      <w:r>
        <w:rPr>
          <w:rFonts w:hint="eastAsia" w:ascii="宋体" w:hAnsi="宋体" w:cs="宋体"/>
          <w:color w:val="auto"/>
          <w:spacing w:val="-7"/>
          <w:sz w:val="24"/>
          <w:szCs w:val="24"/>
          <w:highlight w:val="none"/>
          <w:lang w:val="en-US" w:eastAsia="zh-CN"/>
        </w:rPr>
        <w:t>中标</w:t>
      </w:r>
      <w:r>
        <w:rPr>
          <w:rFonts w:ascii="宋体" w:hAnsi="宋体" w:eastAsia="宋体" w:cs="宋体"/>
          <w:color w:val="auto"/>
          <w:spacing w:val="-7"/>
          <w:sz w:val="24"/>
          <w:szCs w:val="24"/>
          <w:highlight w:val="none"/>
        </w:rPr>
        <w:t>供应商账户（以发票开具日期计算）。</w:t>
      </w:r>
    </w:p>
    <w:p w14:paraId="1DBD5D29">
      <w:pPr>
        <w:keepNext w:val="0"/>
        <w:keepLines w:val="0"/>
        <w:pageBreakBefore w:val="0"/>
        <w:widowControl w:val="0"/>
        <w:kinsoku/>
        <w:wordWrap/>
        <w:overflowPunct/>
        <w:topLinePunct w:val="0"/>
        <w:autoSpaceDE/>
        <w:autoSpaceDN/>
        <w:bidi w:val="0"/>
        <w:adjustRightInd/>
        <w:snapToGrid/>
        <w:spacing w:before="5" w:line="360" w:lineRule="auto"/>
        <w:ind w:left="1479" w:leftChars="703" w:right="985" w:rightChars="0" w:hanging="3" w:firstLineChars="0"/>
        <w:jc w:val="both"/>
        <w:textAlignment w:val="auto"/>
        <w:rPr>
          <w:rFonts w:ascii="宋体" w:hAnsi="宋体" w:eastAsia="宋体" w:cs="宋体"/>
          <w:color w:val="auto"/>
          <w:spacing w:val="-2"/>
          <w:sz w:val="24"/>
          <w:szCs w:val="24"/>
          <w:highlight w:val="none"/>
        </w:rPr>
      </w:pP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2</w:t>
      </w:r>
      <w:r>
        <w:rPr>
          <w:rFonts w:hint="eastAsia" w:ascii="宋体" w:hAnsi="宋体" w:cs="宋体"/>
          <w:color w:val="auto"/>
          <w:spacing w:val="-1"/>
          <w:sz w:val="24"/>
          <w:szCs w:val="24"/>
          <w:highlight w:val="none"/>
          <w:lang w:eastAsia="zh-CN"/>
        </w:rPr>
        <w:t>）</w:t>
      </w:r>
      <w:r>
        <w:rPr>
          <w:rFonts w:ascii="宋体" w:hAnsi="宋体" w:eastAsia="宋体" w:cs="宋体"/>
          <w:color w:val="auto"/>
          <w:spacing w:val="-1"/>
          <w:sz w:val="24"/>
          <w:szCs w:val="24"/>
          <w:highlight w:val="none"/>
        </w:rPr>
        <w:t>每月进行综合考核或满意度测评（含就餐者测评和督导岗等专业人员检查结论），考核结果或满意度测评结果、</w:t>
      </w:r>
      <w:r>
        <w:rPr>
          <w:rFonts w:hint="eastAsia" w:ascii="宋体" w:hAnsi="宋体" w:cs="宋体"/>
          <w:color w:val="auto"/>
          <w:spacing w:val="-1"/>
          <w:sz w:val="24"/>
          <w:szCs w:val="24"/>
          <w:highlight w:val="none"/>
          <w:lang w:val="en-US" w:eastAsia="zh-CN"/>
        </w:rPr>
        <w:t>中标人</w:t>
      </w:r>
      <w:r>
        <w:rPr>
          <w:rFonts w:ascii="宋体" w:hAnsi="宋体" w:eastAsia="宋体" w:cs="宋体"/>
          <w:color w:val="auto"/>
          <w:spacing w:val="-1"/>
          <w:sz w:val="24"/>
          <w:szCs w:val="24"/>
          <w:highlight w:val="none"/>
        </w:rPr>
        <w:t>履行业务及工作量情况，与餐费结算挂钩，考核分在95分及以上或综合满意度在95%及以上，全额支付；考核成绩低于90分或综合满意度低于90%的，第一次扣除当月餐饮服务费1000元，后续每多出现一次，扣除当月餐饮服务费费用增加1000元。考核得分低于85分或综合满意度低于85%的，采购人将采取约见谈话、批评等措施，如在食堂外包服务上有重大失误或连续二个月考核得分低于85分（或满意度测评低于85%）</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lang w:val="en-US" w:eastAsia="zh-CN"/>
        </w:rPr>
        <w:t>经书面警告未改善</w:t>
      </w:r>
      <w:r>
        <w:rPr>
          <w:rFonts w:hint="eastAsia" w:ascii="宋体" w:hAnsi="宋体" w:cs="宋体"/>
          <w:color w:val="auto"/>
          <w:spacing w:val="-1"/>
          <w:sz w:val="24"/>
          <w:szCs w:val="24"/>
          <w:highlight w:val="none"/>
          <w:lang w:val="en-US" w:eastAsia="zh-CN"/>
        </w:rPr>
        <w:t>，采购人</w:t>
      </w:r>
      <w:r>
        <w:rPr>
          <w:rFonts w:ascii="宋体" w:hAnsi="宋体" w:eastAsia="宋体" w:cs="宋体"/>
          <w:color w:val="auto"/>
          <w:spacing w:val="-1"/>
          <w:sz w:val="24"/>
          <w:szCs w:val="24"/>
          <w:highlight w:val="none"/>
        </w:rPr>
        <w:t>有权提前终止或解除合同，由此给</w:t>
      </w:r>
      <w:r>
        <w:rPr>
          <w:rFonts w:hint="eastAsia" w:ascii="宋体" w:hAnsi="宋体" w:cs="宋体"/>
          <w:color w:val="auto"/>
          <w:spacing w:val="-1"/>
          <w:sz w:val="24"/>
          <w:szCs w:val="24"/>
          <w:highlight w:val="none"/>
          <w:lang w:val="en-US" w:eastAsia="zh-CN"/>
        </w:rPr>
        <w:t>采购人</w:t>
      </w:r>
      <w:r>
        <w:rPr>
          <w:rFonts w:ascii="宋体" w:hAnsi="宋体" w:eastAsia="宋体" w:cs="宋体"/>
          <w:color w:val="auto"/>
          <w:spacing w:val="-1"/>
          <w:sz w:val="24"/>
          <w:szCs w:val="24"/>
          <w:highlight w:val="none"/>
        </w:rPr>
        <w:t>造成的直接、间接损失，由</w:t>
      </w:r>
      <w:r>
        <w:rPr>
          <w:rFonts w:hint="eastAsia" w:ascii="宋体" w:hAnsi="宋体" w:cs="宋体"/>
          <w:color w:val="auto"/>
          <w:spacing w:val="-1"/>
          <w:sz w:val="24"/>
          <w:szCs w:val="24"/>
          <w:highlight w:val="none"/>
          <w:lang w:val="en-US" w:eastAsia="zh-CN"/>
        </w:rPr>
        <w:t>中标人</w:t>
      </w:r>
      <w:r>
        <w:rPr>
          <w:rFonts w:ascii="宋体" w:hAnsi="宋体" w:eastAsia="宋体" w:cs="宋体"/>
          <w:color w:val="auto"/>
          <w:spacing w:val="-1"/>
          <w:sz w:val="24"/>
          <w:szCs w:val="24"/>
          <w:highlight w:val="none"/>
        </w:rPr>
        <w:t>承担赔偿责任。</w:t>
      </w:r>
    </w:p>
    <w:p w14:paraId="7D586858">
      <w:pPr>
        <w:keepNext w:val="0"/>
        <w:keepLines w:val="0"/>
        <w:pageBreakBefore w:val="0"/>
        <w:widowControl w:val="0"/>
        <w:kinsoku/>
        <w:wordWrap/>
        <w:overflowPunct/>
        <w:topLinePunct w:val="0"/>
        <w:autoSpaceDE/>
        <w:autoSpaceDN/>
        <w:bidi w:val="0"/>
        <w:adjustRightInd/>
        <w:snapToGrid/>
        <w:spacing w:before="1" w:line="360" w:lineRule="auto"/>
        <w:ind w:left="0" w:leftChars="0" w:firstLine="1479" w:firstLineChars="627"/>
        <w:textAlignment w:val="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（3）应结算费用构成：每月应付餐饮服务费-扣款及相关罚款。</w:t>
      </w:r>
    </w:p>
    <w:p w14:paraId="47493557">
      <w:pPr>
        <w:keepNext w:val="0"/>
        <w:keepLines w:val="0"/>
        <w:pageBreakBefore w:val="0"/>
        <w:widowControl w:val="0"/>
        <w:kinsoku/>
        <w:wordWrap/>
        <w:overflowPunct/>
        <w:topLinePunct w:val="0"/>
        <w:autoSpaceDE/>
        <w:autoSpaceDN/>
        <w:bidi w:val="0"/>
        <w:adjustRightInd/>
        <w:snapToGrid/>
        <w:spacing w:before="147" w:line="360" w:lineRule="auto"/>
        <w:ind w:left="0" w:leftChars="0" w:firstLine="1485" w:firstLineChars="632"/>
        <w:textAlignment w:val="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2、履约保证金：</w:t>
      </w:r>
      <w:r>
        <w:rPr>
          <w:rFonts w:ascii="宋体" w:hAnsi="宋体" w:eastAsia="宋体" w:cs="宋体"/>
          <w:color w:val="auto"/>
          <w:spacing w:val="-3"/>
          <w:sz w:val="24"/>
          <w:szCs w:val="24"/>
          <w:highlight w:val="none"/>
        </w:rPr>
        <w:t>本项目不收取履约保证金。</w:t>
      </w:r>
    </w:p>
    <w:p w14:paraId="346ED937">
      <w:pPr>
        <w:keepNext w:val="0"/>
        <w:keepLines w:val="0"/>
        <w:pageBreakBefore w:val="0"/>
        <w:widowControl w:val="0"/>
        <w:kinsoku/>
        <w:wordWrap/>
        <w:overflowPunct/>
        <w:topLinePunct w:val="0"/>
        <w:autoSpaceDE/>
        <w:autoSpaceDN/>
        <w:bidi w:val="0"/>
        <w:adjustRightInd/>
        <w:snapToGrid/>
        <w:spacing w:before="186" w:line="360" w:lineRule="auto"/>
        <w:ind w:left="0" w:leftChars="0" w:firstLine="1486" w:firstLineChars="649"/>
        <w:textAlignment w:val="auto"/>
        <w:rPr>
          <w:rFonts w:ascii="宋体" w:hAnsi="宋体" w:eastAsia="宋体" w:cs="宋体"/>
          <w:color w:val="auto"/>
          <w:sz w:val="24"/>
          <w:szCs w:val="24"/>
          <w:highlight w:val="none"/>
        </w:rPr>
      </w:pPr>
      <w:r>
        <w:rPr>
          <w:rFonts w:ascii="宋体" w:hAnsi="宋体" w:eastAsia="宋体" w:cs="宋体"/>
          <w:b/>
          <w:bCs/>
          <w:color w:val="auto"/>
          <w:spacing w:val="-6"/>
          <w:sz w:val="24"/>
          <w:szCs w:val="24"/>
          <w:highlight w:val="none"/>
        </w:rPr>
        <w:t>四、投标报价要求</w:t>
      </w:r>
    </w:p>
    <w:p w14:paraId="70D584DA">
      <w:pPr>
        <w:keepNext w:val="0"/>
        <w:keepLines w:val="0"/>
        <w:pageBreakBefore w:val="0"/>
        <w:widowControl w:val="0"/>
        <w:kinsoku/>
        <w:wordWrap/>
        <w:overflowPunct/>
        <w:topLinePunct w:val="0"/>
        <w:autoSpaceDE/>
        <w:autoSpaceDN/>
        <w:bidi w:val="0"/>
        <w:adjustRightInd/>
        <w:snapToGrid/>
        <w:spacing w:before="182" w:line="360" w:lineRule="auto"/>
        <w:ind w:left="1490" w:leftChars="703" w:right="985" w:rightChars="469" w:hanging="14" w:hangingChars="6"/>
        <w:textAlignment w:val="auto"/>
        <w:rPr>
          <w:color w:val="auto"/>
          <w:highlight w:val="none"/>
        </w:rPr>
      </w:pPr>
      <w:r>
        <w:rPr>
          <w:rFonts w:ascii="宋体" w:hAnsi="宋体" w:eastAsia="宋体" w:cs="宋体"/>
          <w:color w:val="auto"/>
          <w:spacing w:val="3"/>
          <w:sz w:val="24"/>
          <w:szCs w:val="24"/>
          <w:highlight w:val="none"/>
        </w:rPr>
        <w:t>1、本项目</w:t>
      </w:r>
      <w:r>
        <w:rPr>
          <w:rFonts w:ascii="宋体" w:hAnsi="宋体" w:eastAsia="宋体" w:cs="宋体"/>
          <w:color w:val="auto"/>
          <w:spacing w:val="2"/>
          <w:sz w:val="24"/>
          <w:szCs w:val="24"/>
          <w:highlight w:val="none"/>
        </w:rPr>
        <w:t>投</w:t>
      </w:r>
      <w:r>
        <w:rPr>
          <w:rFonts w:ascii="宋体" w:hAnsi="宋体" w:eastAsia="宋体" w:cs="宋体"/>
          <w:color w:val="auto"/>
          <w:spacing w:val="-1"/>
          <w:sz w:val="24"/>
          <w:szCs w:val="24"/>
          <w:highlight w:val="none"/>
        </w:rPr>
        <w:t>标人自行考虑服务期内因各种物价风险、政策风险及其他潜在风险引起的一切其他费</w:t>
      </w:r>
      <w:r>
        <w:rPr>
          <w:rFonts w:ascii="宋体" w:hAnsi="宋体" w:eastAsia="宋体" w:cs="宋体"/>
          <w:color w:val="auto"/>
          <w:spacing w:val="-2"/>
          <w:sz w:val="24"/>
          <w:szCs w:val="24"/>
          <w:highlight w:val="none"/>
        </w:rPr>
        <w:t>用。</w:t>
      </w:r>
    </w:p>
    <w:p w14:paraId="0B977F0A">
      <w:pPr>
        <w:keepNext w:val="0"/>
        <w:keepLines w:val="0"/>
        <w:pageBreakBefore w:val="0"/>
        <w:widowControl w:val="0"/>
        <w:tabs>
          <w:tab w:val="left" w:pos="8820"/>
        </w:tabs>
        <w:kinsoku/>
        <w:wordWrap/>
        <w:overflowPunct/>
        <w:topLinePunct w:val="0"/>
        <w:autoSpaceDE/>
        <w:autoSpaceDN/>
        <w:bidi w:val="0"/>
        <w:adjustRightInd/>
        <w:snapToGrid/>
        <w:spacing w:before="78" w:line="360" w:lineRule="auto"/>
        <w:ind w:left="1718" w:leftChars="818" w:right="985" w:rightChars="469" w:firstLine="238" w:firstLineChars="100"/>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投标文件中的投标总价为</w:t>
      </w:r>
      <w:r>
        <w:rPr>
          <w:rFonts w:hint="eastAsia" w:ascii="宋体" w:hAnsi="宋体" w:cs="宋体"/>
          <w:color w:val="auto"/>
          <w:spacing w:val="-1"/>
          <w:sz w:val="24"/>
          <w:szCs w:val="24"/>
          <w:highlight w:val="none"/>
          <w:lang w:val="en-US" w:eastAsia="zh-CN"/>
        </w:rPr>
        <w:t>二</w:t>
      </w:r>
      <w:r>
        <w:rPr>
          <w:rFonts w:ascii="宋体" w:hAnsi="宋体" w:eastAsia="宋体" w:cs="宋体"/>
          <w:color w:val="auto"/>
          <w:spacing w:val="-1"/>
          <w:sz w:val="24"/>
          <w:szCs w:val="24"/>
          <w:highlight w:val="none"/>
        </w:rPr>
        <w:t>年服务期总报价，总报价为一次性报价，在项目实施过程中如有疏漏，后果由投标人负责，采购人在项目履行过程</w:t>
      </w:r>
      <w:r>
        <w:rPr>
          <w:rFonts w:ascii="宋体" w:hAnsi="宋体" w:eastAsia="宋体" w:cs="宋体"/>
          <w:color w:val="auto"/>
          <w:spacing w:val="-2"/>
          <w:sz w:val="24"/>
          <w:szCs w:val="24"/>
          <w:highlight w:val="none"/>
        </w:rPr>
        <w:t>中，不再支付任何费用。</w:t>
      </w:r>
    </w:p>
    <w:p w14:paraId="15E5BE9D">
      <w:pPr>
        <w:keepNext w:val="0"/>
        <w:keepLines w:val="0"/>
        <w:pageBreakBefore w:val="0"/>
        <w:widowControl w:val="0"/>
        <w:kinsoku/>
        <w:wordWrap/>
        <w:overflowPunct/>
        <w:topLinePunct w:val="0"/>
        <w:autoSpaceDE/>
        <w:autoSpaceDN/>
        <w:bidi w:val="0"/>
        <w:adjustRightInd/>
        <w:snapToGrid/>
        <w:spacing w:line="360" w:lineRule="auto"/>
        <w:ind w:left="1476" w:leftChars="703" w:right="764" w:rightChars="364" w:firstLine="0" w:firstLineChars="0"/>
        <w:textAlignment w:val="auto"/>
        <w:rPr>
          <w:rFonts w:ascii="宋体" w:hAnsi="宋体" w:eastAsia="宋体" w:cs="宋体"/>
          <w:color w:val="auto"/>
          <w:spacing w:val="-2"/>
          <w:sz w:val="24"/>
          <w:szCs w:val="24"/>
          <w:highlight w:val="none"/>
        </w:rPr>
      </w:pPr>
      <w:r>
        <w:rPr>
          <w:rFonts w:hint="eastAsia" w:ascii="宋体" w:hAnsi="宋体" w:cs="宋体"/>
          <w:color w:val="auto"/>
          <w:spacing w:val="3"/>
          <w:sz w:val="24"/>
          <w:szCs w:val="24"/>
          <w:highlight w:val="none"/>
          <w:lang w:val="en-US" w:eastAsia="zh-CN"/>
        </w:rPr>
        <w:t>2</w:t>
      </w:r>
      <w:r>
        <w:rPr>
          <w:rFonts w:ascii="宋体" w:hAnsi="宋体" w:eastAsia="宋体" w:cs="宋体"/>
          <w:color w:val="auto"/>
          <w:spacing w:val="3"/>
          <w:sz w:val="24"/>
          <w:szCs w:val="24"/>
          <w:highlight w:val="none"/>
        </w:rPr>
        <w:t>、</w:t>
      </w:r>
      <w:r>
        <w:rPr>
          <w:rFonts w:ascii="宋体" w:hAnsi="宋体"/>
          <w:color w:val="auto"/>
          <w:sz w:val="24"/>
          <w:highlight w:val="none"/>
        </w:rPr>
        <w:t>投标报价</w:t>
      </w:r>
      <w:r>
        <w:rPr>
          <w:rFonts w:hint="eastAsia" w:ascii="宋体" w:hAnsi="宋体"/>
          <w:color w:val="auto"/>
          <w:sz w:val="24"/>
          <w:highlight w:val="none"/>
          <w:lang w:val="en-US" w:eastAsia="zh-CN"/>
        </w:rPr>
        <w:t>为含税价，投标人</w:t>
      </w:r>
      <w:r>
        <w:rPr>
          <w:rFonts w:ascii="宋体" w:hAnsi="宋体"/>
          <w:color w:val="auto"/>
          <w:sz w:val="24"/>
          <w:highlight w:val="none"/>
        </w:rPr>
        <w:t>开展本项服务工作所产生的</w:t>
      </w:r>
      <w:r>
        <w:rPr>
          <w:rFonts w:hint="eastAsia" w:ascii="宋体" w:hAnsi="宋体" w:eastAsia="宋体" w:cs="宋体"/>
          <w:color w:val="auto"/>
          <w:spacing w:val="-1"/>
          <w:sz w:val="24"/>
          <w:szCs w:val="24"/>
          <w:highlight w:val="none"/>
          <w:lang w:val="en-US" w:eastAsia="zh-CN"/>
        </w:rPr>
        <w:t>包含</w:t>
      </w:r>
      <w:r>
        <w:rPr>
          <w:rFonts w:hint="eastAsia" w:ascii="宋体" w:hAnsi="宋体" w:cs="宋体"/>
          <w:color w:val="auto"/>
          <w:spacing w:val="-1"/>
          <w:sz w:val="24"/>
          <w:szCs w:val="24"/>
          <w:highlight w:val="none"/>
          <w:lang w:val="en-US" w:eastAsia="zh-CN"/>
        </w:rPr>
        <w:t>但不限于</w:t>
      </w:r>
      <w:r>
        <w:rPr>
          <w:rFonts w:ascii="宋体" w:hAnsi="宋体" w:eastAsia="宋体" w:cs="宋体"/>
          <w:color w:val="auto"/>
          <w:spacing w:val="3"/>
          <w:sz w:val="24"/>
          <w:szCs w:val="24"/>
          <w:highlight w:val="none"/>
        </w:rPr>
        <w:t>餐费（食材、调料、食材</w:t>
      </w:r>
      <w:r>
        <w:rPr>
          <w:rFonts w:ascii="宋体" w:hAnsi="宋体" w:eastAsia="宋体" w:cs="宋体"/>
          <w:color w:val="auto"/>
          <w:spacing w:val="2"/>
          <w:sz w:val="24"/>
          <w:szCs w:val="24"/>
          <w:highlight w:val="none"/>
        </w:rPr>
        <w:t>加工服务等）</w:t>
      </w:r>
      <w:r>
        <w:rPr>
          <w:rFonts w:hint="eastAsia" w:ascii="宋体" w:hAnsi="宋体" w:cs="宋体"/>
          <w:color w:val="auto"/>
          <w:spacing w:val="2"/>
          <w:sz w:val="24"/>
          <w:szCs w:val="24"/>
          <w:highlight w:val="none"/>
          <w:lang w:eastAsia="zh-CN"/>
        </w:rPr>
        <w:t>、</w:t>
      </w:r>
      <w:r>
        <w:rPr>
          <w:rFonts w:ascii="宋体" w:hAnsi="宋体"/>
          <w:color w:val="auto"/>
          <w:sz w:val="24"/>
          <w:highlight w:val="none"/>
        </w:rPr>
        <w:t>管理人员和服务人员的工资</w:t>
      </w:r>
      <w:r>
        <w:rPr>
          <w:rFonts w:hint="eastAsia" w:ascii="宋体" w:hAnsi="宋体"/>
          <w:color w:val="auto"/>
          <w:sz w:val="24"/>
          <w:highlight w:val="none"/>
        </w:rPr>
        <w:t>（含社保、加班</w:t>
      </w:r>
      <w:r>
        <w:rPr>
          <w:rFonts w:hint="eastAsia" w:ascii="宋体" w:hAnsi="宋体"/>
          <w:color w:val="auto"/>
          <w:sz w:val="24"/>
          <w:highlight w:val="none"/>
          <w:lang w:val="en-US" w:eastAsia="zh-CN"/>
        </w:rPr>
        <w:t>费</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体检费</w:t>
      </w:r>
      <w:r>
        <w:rPr>
          <w:rFonts w:hint="eastAsia" w:ascii="宋体" w:hAnsi="宋体"/>
          <w:color w:val="auto"/>
          <w:sz w:val="24"/>
          <w:highlight w:val="none"/>
        </w:rPr>
        <w:t>及福利等）</w:t>
      </w:r>
      <w:r>
        <w:rPr>
          <w:rFonts w:ascii="宋体" w:hAnsi="宋体"/>
          <w:color w:val="auto"/>
          <w:sz w:val="24"/>
          <w:highlight w:val="none"/>
        </w:rPr>
        <w:t>、</w:t>
      </w:r>
      <w:r>
        <w:rPr>
          <w:rFonts w:hint="eastAsia" w:ascii="宋体" w:hAnsi="宋体"/>
          <w:color w:val="auto"/>
          <w:sz w:val="24"/>
          <w:highlight w:val="none"/>
        </w:rPr>
        <w:t>管理费及合理利润、</w:t>
      </w:r>
      <w:r>
        <w:rPr>
          <w:rFonts w:ascii="宋体" w:hAnsi="宋体" w:eastAsia="宋体" w:cs="宋体"/>
          <w:color w:val="auto"/>
          <w:sz w:val="24"/>
          <w:szCs w:val="24"/>
          <w:highlight w:val="none"/>
        </w:rPr>
        <w:t>招标文件所涉及货物和服</w:t>
      </w:r>
      <w:r>
        <w:rPr>
          <w:rFonts w:ascii="宋体" w:hAnsi="宋体" w:eastAsia="宋体" w:cs="宋体"/>
          <w:color w:val="auto"/>
          <w:spacing w:val="-1"/>
          <w:sz w:val="24"/>
          <w:szCs w:val="24"/>
          <w:highlight w:val="none"/>
        </w:rPr>
        <w:t>务的一切费用</w:t>
      </w:r>
      <w:r>
        <w:rPr>
          <w:rFonts w:hint="eastAsia" w:ascii="宋体" w:hAnsi="宋体"/>
          <w:color w:val="auto"/>
          <w:sz w:val="24"/>
          <w:highlight w:val="none"/>
          <w:lang w:val="en-US" w:eastAsia="zh-CN"/>
        </w:rPr>
        <w:t>。</w:t>
      </w:r>
      <w:r>
        <w:rPr>
          <w:rFonts w:ascii="宋体" w:hAnsi="宋体" w:eastAsia="宋体" w:cs="宋体"/>
          <w:color w:val="auto"/>
          <w:spacing w:val="-1"/>
          <w:sz w:val="24"/>
          <w:szCs w:val="24"/>
          <w:highlight w:val="none"/>
        </w:rPr>
        <w:t>（食堂运行所涉及的能耗、虫害消杀、设施设备维修改造、厨具餐具设备更新、环境改造费用</w:t>
      </w:r>
      <w:r>
        <w:rPr>
          <w:rFonts w:ascii="宋体" w:hAnsi="宋体" w:eastAsia="宋体" w:cs="宋体"/>
          <w:color w:val="auto"/>
          <w:spacing w:val="-2"/>
          <w:sz w:val="24"/>
          <w:szCs w:val="24"/>
          <w:highlight w:val="none"/>
        </w:rPr>
        <w:t>不包含在内）。</w:t>
      </w:r>
    </w:p>
    <w:p w14:paraId="24921BEE">
      <w:pPr>
        <w:keepNext w:val="0"/>
        <w:keepLines w:val="0"/>
        <w:pageBreakBefore w:val="0"/>
        <w:widowControl w:val="0"/>
        <w:kinsoku/>
        <w:wordWrap/>
        <w:overflowPunct/>
        <w:topLinePunct w:val="0"/>
        <w:autoSpaceDE/>
        <w:autoSpaceDN/>
        <w:bidi w:val="0"/>
        <w:adjustRightInd/>
        <w:snapToGrid/>
        <w:spacing w:before="1" w:line="360" w:lineRule="auto"/>
        <w:ind w:left="1424" w:right="1132" w:firstLine="486"/>
        <w:textAlignment w:val="auto"/>
        <w:rPr>
          <w:rFonts w:ascii="宋体" w:hAnsi="宋体" w:eastAsia="宋体" w:cs="宋体"/>
          <w:color w:val="auto"/>
          <w:spacing w:val="-1"/>
          <w:sz w:val="24"/>
          <w:szCs w:val="24"/>
          <w:highlight w:val="none"/>
        </w:rPr>
      </w:pPr>
    </w:p>
    <w:p w14:paraId="6580CC1E">
      <w:pPr>
        <w:keepNext w:val="0"/>
        <w:keepLines w:val="0"/>
        <w:pageBreakBefore w:val="0"/>
        <w:widowControl w:val="0"/>
        <w:kinsoku/>
        <w:wordWrap/>
        <w:overflowPunct/>
        <w:topLinePunct w:val="0"/>
        <w:autoSpaceDE/>
        <w:autoSpaceDN/>
        <w:bidi w:val="0"/>
        <w:adjustRightInd/>
        <w:snapToGrid/>
        <w:spacing w:before="1" w:line="360" w:lineRule="auto"/>
        <w:ind w:left="1424" w:right="1132" w:firstLine="486"/>
        <w:textAlignment w:val="auto"/>
        <w:rPr>
          <w:rFonts w:ascii="宋体" w:hAnsi="宋体" w:eastAsia="宋体" w:cs="宋体"/>
          <w:color w:val="auto"/>
          <w:spacing w:val="-1"/>
          <w:sz w:val="24"/>
          <w:szCs w:val="24"/>
          <w:highlight w:val="none"/>
        </w:rPr>
        <w:sectPr>
          <w:footerReference r:id="rId8" w:type="default"/>
          <w:pgSz w:w="11905" w:h="16839"/>
          <w:pgMar w:top="1167" w:right="0" w:bottom="1198" w:left="0" w:header="826" w:footer="968" w:gutter="0"/>
          <w:pgNumType w:fmt="decimal"/>
          <w:cols w:space="720" w:num="1"/>
        </w:sectPr>
      </w:pPr>
    </w:p>
    <w:p w14:paraId="4E99E411">
      <w:pPr>
        <w:pStyle w:val="185"/>
        <w:spacing w:before="156" w:after="156" w:line="360" w:lineRule="auto"/>
        <w:jc w:val="center"/>
        <w:rPr>
          <w:rFonts w:ascii="黑体" w:hAnsi="黑体" w:eastAsia="黑体"/>
          <w:b w:val="0"/>
          <w:color w:val="auto"/>
          <w:highlight w:val="none"/>
        </w:rPr>
      </w:pPr>
      <w:bookmarkStart w:id="166" w:name="_Toc155796360"/>
      <w:r>
        <w:rPr>
          <w:rFonts w:ascii="黑体" w:hAnsi="黑体" w:eastAsia="黑体"/>
          <w:b w:val="0"/>
          <w:color w:val="auto"/>
          <w:highlight w:val="none"/>
        </w:rPr>
        <w:t>第五章</w:t>
      </w:r>
      <w:r>
        <w:rPr>
          <w:rFonts w:hint="eastAsia" w:ascii="黑体" w:hAnsi="黑体" w:eastAsia="黑体"/>
          <w:b w:val="0"/>
          <w:color w:val="auto"/>
          <w:highlight w:val="none"/>
        </w:rPr>
        <w:t xml:space="preserve">  评标方法与评标标准</w:t>
      </w:r>
      <w:bookmarkEnd w:id="166"/>
    </w:p>
    <w:p w14:paraId="102748E2">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一、评标方法</w:t>
      </w:r>
    </w:p>
    <w:p w14:paraId="04746F30">
      <w:pPr>
        <w:spacing w:line="500" w:lineRule="exact"/>
        <w:ind w:firstLine="480"/>
        <w:jc w:val="left"/>
        <w:rPr>
          <w:rFonts w:hint="eastAsia"/>
          <w:color w:val="auto"/>
          <w:sz w:val="24"/>
          <w:szCs w:val="24"/>
          <w:highlight w:val="none"/>
        </w:rPr>
      </w:pPr>
      <w:r>
        <w:rPr>
          <w:rFonts w:hint="eastAsia"/>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4FBB9E5D">
      <w:pPr>
        <w:spacing w:before="1" w:line="359" w:lineRule="auto"/>
        <w:ind w:right="0" w:rightChars="0"/>
        <w:rPr>
          <w:rFonts w:hint="eastAsia"/>
          <w:color w:val="auto"/>
          <w:sz w:val="24"/>
          <w:szCs w:val="24"/>
          <w:highlight w:val="none"/>
        </w:rPr>
      </w:pPr>
      <w:r>
        <w:rPr>
          <w:rFonts w:hint="eastAsia" w:ascii="黑体" w:hAnsi="黑体" w:eastAsia="黑体"/>
          <w:color w:val="auto"/>
          <w:sz w:val="24"/>
          <w:szCs w:val="24"/>
          <w:highlight w:val="none"/>
        </w:rPr>
        <w:t>二、评标原则：</w:t>
      </w:r>
      <w:r>
        <w:rPr>
          <w:rFonts w:hint="eastAsia"/>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27DBDDCA">
      <w:pPr>
        <w:spacing w:line="500" w:lineRule="exact"/>
        <w:jc w:val="left"/>
        <w:rPr>
          <w:rFonts w:ascii="黑体" w:hAnsi="黑体" w:eastAsia="黑体"/>
          <w:color w:val="auto"/>
          <w:sz w:val="24"/>
          <w:szCs w:val="24"/>
          <w:highlight w:val="none"/>
        </w:rPr>
      </w:pPr>
      <w:r>
        <w:rPr>
          <w:rFonts w:hint="eastAsia" w:ascii="黑体" w:hAnsi="黑体" w:eastAsia="黑体"/>
          <w:color w:val="auto"/>
          <w:sz w:val="24"/>
          <w:szCs w:val="24"/>
          <w:highlight w:val="none"/>
          <w:lang w:val="en-US" w:eastAsia="zh-CN"/>
        </w:rPr>
        <w:t>三</w:t>
      </w:r>
      <w:r>
        <w:rPr>
          <w:rFonts w:ascii="黑体" w:hAnsi="黑体" w:eastAsia="黑体"/>
          <w:color w:val="auto"/>
          <w:sz w:val="24"/>
          <w:szCs w:val="24"/>
          <w:highlight w:val="none"/>
        </w:rPr>
        <w:t>、评标标准</w:t>
      </w:r>
    </w:p>
    <w:p w14:paraId="6FDA2E4D">
      <w:pPr>
        <w:spacing w:line="500" w:lineRule="exact"/>
        <w:ind w:firstLine="480"/>
        <w:jc w:val="left"/>
        <w:rPr>
          <w:color w:val="auto"/>
          <w:sz w:val="24"/>
          <w:szCs w:val="24"/>
          <w:highlight w:val="none"/>
        </w:rPr>
      </w:pPr>
      <w:r>
        <w:rPr>
          <w:rFonts w:hint="eastAsia"/>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202B1D70">
      <w:pPr>
        <w:spacing w:line="500" w:lineRule="exact"/>
        <w:ind w:firstLine="480"/>
        <w:jc w:val="left"/>
        <w:rPr>
          <w:color w:val="auto"/>
          <w:sz w:val="24"/>
          <w:szCs w:val="24"/>
          <w:highlight w:val="none"/>
        </w:rPr>
      </w:pPr>
      <w:r>
        <w:rPr>
          <w:rFonts w:hint="eastAsia"/>
          <w:color w:val="auto"/>
          <w:sz w:val="24"/>
          <w:szCs w:val="24"/>
          <w:highlight w:val="none"/>
        </w:rPr>
        <w:t>（2）本项目评分总分为100分，按四舍五入取至小数点后两位。</w:t>
      </w:r>
    </w:p>
    <w:p w14:paraId="680DD8B7">
      <w:pPr>
        <w:spacing w:line="500" w:lineRule="exact"/>
        <w:ind w:firstLine="480"/>
        <w:jc w:val="left"/>
        <w:rPr>
          <w:color w:val="auto"/>
          <w:sz w:val="24"/>
          <w:szCs w:val="24"/>
          <w:highlight w:val="none"/>
        </w:rPr>
      </w:pPr>
      <w:r>
        <w:rPr>
          <w:rFonts w:hint="eastAsia"/>
          <w:color w:val="auto"/>
          <w:sz w:val="24"/>
          <w:szCs w:val="24"/>
          <w:highlight w:val="none"/>
        </w:rPr>
        <w:t>（3）总得分=价格分+技术分+商务分。</w:t>
      </w:r>
    </w:p>
    <w:p w14:paraId="33E80BA8">
      <w:pPr>
        <w:spacing w:line="500" w:lineRule="exact"/>
        <w:jc w:val="center"/>
        <w:rPr>
          <w:rFonts w:hint="eastAsia" w:ascii="黑体" w:hAnsi="黑体" w:eastAsia="黑体"/>
          <w:color w:val="auto"/>
          <w:sz w:val="32"/>
          <w:szCs w:val="24"/>
          <w:highlight w:val="none"/>
        </w:rPr>
      </w:pPr>
    </w:p>
    <w:p w14:paraId="207B54F1">
      <w:pPr>
        <w:spacing w:line="500" w:lineRule="exact"/>
        <w:jc w:val="center"/>
        <w:rPr>
          <w:rFonts w:hint="eastAsia" w:ascii="黑体" w:hAnsi="黑体" w:eastAsia="黑体"/>
          <w:color w:val="auto"/>
          <w:sz w:val="32"/>
          <w:szCs w:val="24"/>
          <w:highlight w:val="none"/>
        </w:rPr>
      </w:pPr>
    </w:p>
    <w:p w14:paraId="4043F675">
      <w:pPr>
        <w:spacing w:line="500" w:lineRule="exact"/>
        <w:jc w:val="center"/>
        <w:rPr>
          <w:rFonts w:hint="eastAsia" w:ascii="黑体" w:hAnsi="黑体" w:eastAsia="黑体"/>
          <w:color w:val="auto"/>
          <w:sz w:val="32"/>
          <w:szCs w:val="24"/>
          <w:highlight w:val="none"/>
        </w:rPr>
      </w:pPr>
    </w:p>
    <w:p w14:paraId="58E6A34D">
      <w:pPr>
        <w:spacing w:line="500" w:lineRule="exact"/>
        <w:jc w:val="center"/>
        <w:rPr>
          <w:rFonts w:hint="eastAsia" w:ascii="黑体" w:hAnsi="黑体" w:eastAsia="黑体"/>
          <w:color w:val="auto"/>
          <w:sz w:val="32"/>
          <w:szCs w:val="24"/>
          <w:highlight w:val="none"/>
        </w:rPr>
      </w:pPr>
    </w:p>
    <w:p w14:paraId="30BC427D">
      <w:pPr>
        <w:spacing w:line="500" w:lineRule="exact"/>
        <w:jc w:val="center"/>
        <w:rPr>
          <w:rFonts w:hint="eastAsia" w:ascii="黑体" w:hAnsi="黑体" w:eastAsia="黑体"/>
          <w:color w:val="auto"/>
          <w:sz w:val="32"/>
          <w:szCs w:val="24"/>
          <w:highlight w:val="none"/>
        </w:rPr>
      </w:pPr>
    </w:p>
    <w:p w14:paraId="3771D383">
      <w:pPr>
        <w:spacing w:line="500" w:lineRule="exact"/>
        <w:jc w:val="center"/>
        <w:rPr>
          <w:rFonts w:hint="eastAsia" w:ascii="黑体" w:hAnsi="黑体" w:eastAsia="黑体"/>
          <w:color w:val="auto"/>
          <w:sz w:val="32"/>
          <w:szCs w:val="24"/>
          <w:highlight w:val="none"/>
        </w:rPr>
      </w:pPr>
    </w:p>
    <w:p w14:paraId="717F3161">
      <w:pPr>
        <w:spacing w:line="500" w:lineRule="exact"/>
        <w:jc w:val="center"/>
        <w:rPr>
          <w:rFonts w:hint="eastAsia" w:ascii="黑体" w:hAnsi="黑体" w:eastAsia="黑体"/>
          <w:color w:val="auto"/>
          <w:sz w:val="32"/>
          <w:szCs w:val="24"/>
          <w:highlight w:val="none"/>
        </w:rPr>
      </w:pPr>
    </w:p>
    <w:p w14:paraId="0B8BDA94">
      <w:pPr>
        <w:spacing w:line="500" w:lineRule="exact"/>
        <w:jc w:val="center"/>
        <w:rPr>
          <w:rFonts w:hint="eastAsia" w:ascii="黑体" w:hAnsi="黑体" w:eastAsia="黑体"/>
          <w:color w:val="auto"/>
          <w:sz w:val="32"/>
          <w:szCs w:val="24"/>
          <w:highlight w:val="none"/>
        </w:rPr>
      </w:pPr>
    </w:p>
    <w:p w14:paraId="689B3321">
      <w:pPr>
        <w:spacing w:line="500" w:lineRule="exact"/>
        <w:jc w:val="center"/>
        <w:rPr>
          <w:rFonts w:hint="eastAsia" w:ascii="黑体" w:hAnsi="黑体" w:eastAsia="黑体"/>
          <w:color w:val="auto"/>
          <w:sz w:val="32"/>
          <w:szCs w:val="24"/>
          <w:highlight w:val="none"/>
        </w:rPr>
      </w:pPr>
    </w:p>
    <w:p w14:paraId="47F94809">
      <w:pPr>
        <w:spacing w:line="500" w:lineRule="exact"/>
        <w:jc w:val="center"/>
        <w:rPr>
          <w:rFonts w:hint="eastAsia" w:ascii="黑体" w:hAnsi="黑体" w:eastAsia="黑体"/>
          <w:color w:val="auto"/>
          <w:sz w:val="32"/>
          <w:szCs w:val="24"/>
          <w:highlight w:val="none"/>
        </w:rPr>
      </w:pPr>
    </w:p>
    <w:p w14:paraId="2949E24E">
      <w:pPr>
        <w:spacing w:line="500" w:lineRule="exact"/>
        <w:jc w:val="center"/>
        <w:rPr>
          <w:rFonts w:hint="eastAsia" w:ascii="黑体" w:hAnsi="黑体" w:eastAsia="黑体"/>
          <w:color w:val="auto"/>
          <w:sz w:val="32"/>
          <w:szCs w:val="24"/>
          <w:highlight w:val="none"/>
        </w:rPr>
      </w:pPr>
    </w:p>
    <w:p w14:paraId="3B71C874">
      <w:pPr>
        <w:spacing w:line="500" w:lineRule="exact"/>
        <w:jc w:val="center"/>
        <w:rPr>
          <w:rFonts w:hint="eastAsia" w:ascii="黑体" w:hAnsi="黑体" w:eastAsia="黑体"/>
          <w:color w:val="auto"/>
          <w:sz w:val="32"/>
          <w:szCs w:val="24"/>
          <w:highlight w:val="none"/>
        </w:rPr>
      </w:pPr>
    </w:p>
    <w:p w14:paraId="005B9BF8">
      <w:pPr>
        <w:spacing w:line="500" w:lineRule="exact"/>
        <w:jc w:val="center"/>
        <w:rPr>
          <w:rFonts w:hint="eastAsia" w:ascii="黑体" w:hAnsi="黑体" w:eastAsia="黑体"/>
          <w:color w:val="auto"/>
          <w:sz w:val="32"/>
          <w:szCs w:val="24"/>
          <w:highlight w:val="none"/>
        </w:rPr>
      </w:pPr>
    </w:p>
    <w:p w14:paraId="332B24E9">
      <w:pPr>
        <w:spacing w:line="500" w:lineRule="exact"/>
        <w:jc w:val="center"/>
        <w:rPr>
          <w:rFonts w:hint="eastAsia" w:ascii="黑体" w:hAnsi="黑体" w:eastAsia="黑体"/>
          <w:color w:val="auto"/>
          <w:sz w:val="32"/>
          <w:szCs w:val="24"/>
          <w:highlight w:val="none"/>
        </w:rPr>
      </w:pPr>
      <w:r>
        <w:rPr>
          <w:rFonts w:hint="eastAsia" w:ascii="黑体" w:hAnsi="黑体" w:eastAsia="黑体"/>
          <w:color w:val="auto"/>
          <w:sz w:val="32"/>
          <w:szCs w:val="24"/>
          <w:highlight w:val="none"/>
        </w:rPr>
        <w:t>综合评分法</w:t>
      </w:r>
    </w:p>
    <w:p w14:paraId="60891EC7">
      <w:pPr>
        <w:spacing w:before="236" w:line="218" w:lineRule="auto"/>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1.价格分：</w:t>
      </w:r>
      <w:r>
        <w:rPr>
          <w:rFonts w:hint="eastAsia" w:ascii="宋体" w:hAnsi="宋体" w:cs="宋体"/>
          <w:b/>
          <w:bCs/>
          <w:color w:val="auto"/>
          <w:spacing w:val="-5"/>
          <w:sz w:val="24"/>
          <w:szCs w:val="24"/>
          <w:highlight w:val="none"/>
          <w:lang w:val="en-US" w:eastAsia="zh-CN"/>
        </w:rPr>
        <w:t>10</w:t>
      </w:r>
      <w:r>
        <w:rPr>
          <w:rFonts w:ascii="宋体" w:hAnsi="宋体" w:eastAsia="宋体" w:cs="宋体"/>
          <w:b/>
          <w:bCs/>
          <w:color w:val="auto"/>
          <w:spacing w:val="-5"/>
          <w:sz w:val="24"/>
          <w:szCs w:val="24"/>
          <w:highlight w:val="none"/>
        </w:rPr>
        <w:t>分</w:t>
      </w:r>
    </w:p>
    <w:p w14:paraId="25669EA0">
      <w:pPr>
        <w:spacing w:before="116" w:line="308" w:lineRule="auto"/>
        <w:ind w:right="0" w:rightChars="0" w:firstLine="504" w:firstLineChars="20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采用低价优先法计算，即满足招标文件要求且投标价格最低的</w:t>
      </w:r>
      <w:r>
        <w:rPr>
          <w:rFonts w:ascii="宋体" w:hAnsi="宋体" w:eastAsia="宋体" w:cs="宋体"/>
          <w:color w:val="auto"/>
          <w:spacing w:val="5"/>
          <w:sz w:val="24"/>
          <w:szCs w:val="24"/>
          <w:highlight w:val="none"/>
        </w:rPr>
        <w:t>投标报价为评标基准</w:t>
      </w:r>
      <w:r>
        <w:rPr>
          <w:rFonts w:ascii="宋体" w:hAnsi="宋体" w:eastAsia="宋体" w:cs="宋体"/>
          <w:color w:val="auto"/>
          <w:spacing w:val="-2"/>
          <w:sz w:val="24"/>
          <w:szCs w:val="24"/>
          <w:highlight w:val="none"/>
        </w:rPr>
        <w:t>价，其价格分为满分。其他投标人的价格分统一按照下列公式计算：</w:t>
      </w:r>
    </w:p>
    <w:p w14:paraId="001684FA">
      <w:pPr>
        <w:pStyle w:val="14"/>
        <w:spacing w:before="1" w:line="23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投标报价得分=（评标基准价/投标报价） </w:t>
      </w:r>
      <w:r>
        <w:rPr>
          <w:color w:val="auto"/>
          <w:spacing w:val="-2"/>
          <w:sz w:val="24"/>
          <w:szCs w:val="24"/>
          <w:highlight w:val="none"/>
        </w:rPr>
        <w:t>×</w:t>
      </w:r>
      <w:r>
        <w:rPr>
          <w:rFonts w:hint="eastAsia" w:ascii="宋体" w:hAnsi="宋体" w:eastAsia="宋体" w:cs="宋体"/>
          <w:b/>
          <w:bCs/>
          <w:color w:val="auto"/>
          <w:spacing w:val="-5"/>
          <w:sz w:val="24"/>
          <w:szCs w:val="24"/>
          <w:highlight w:val="none"/>
          <w:u w:val="single"/>
          <w:lang w:val="en-US" w:eastAsia="zh-CN" w:bidi="ar-SA"/>
        </w:rPr>
        <w:t>10</w:t>
      </w:r>
      <w:r>
        <w:rPr>
          <w:rFonts w:ascii="宋体" w:hAnsi="宋体" w:eastAsia="宋体" w:cs="宋体"/>
          <w:color w:val="auto"/>
          <w:spacing w:val="-2"/>
          <w:sz w:val="24"/>
          <w:szCs w:val="24"/>
          <w:highlight w:val="none"/>
        </w:rPr>
        <w:t>分。</w:t>
      </w:r>
    </w:p>
    <w:p w14:paraId="76672C99">
      <w:pPr>
        <w:spacing w:before="99"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评标过程中，不得去掉报价中的最高报价和最低报价。</w:t>
      </w:r>
    </w:p>
    <w:p w14:paraId="63852AC6">
      <w:pPr>
        <w:spacing w:before="119" w:line="218" w:lineRule="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2.商务技术分：</w:t>
      </w:r>
      <w:r>
        <w:rPr>
          <w:rFonts w:hint="eastAsia" w:ascii="宋体" w:hAnsi="宋体" w:cs="宋体"/>
          <w:b/>
          <w:bCs/>
          <w:color w:val="auto"/>
          <w:spacing w:val="-3"/>
          <w:sz w:val="24"/>
          <w:szCs w:val="24"/>
          <w:highlight w:val="none"/>
          <w:lang w:val="en-US" w:eastAsia="zh-CN"/>
        </w:rPr>
        <w:t>90</w:t>
      </w:r>
      <w:r>
        <w:rPr>
          <w:rFonts w:ascii="宋体" w:hAnsi="宋体" w:eastAsia="宋体" w:cs="宋体"/>
          <w:b/>
          <w:bCs/>
          <w:color w:val="auto"/>
          <w:spacing w:val="-3"/>
          <w:sz w:val="24"/>
          <w:szCs w:val="24"/>
          <w:highlight w:val="none"/>
        </w:rPr>
        <w:t>分</w:t>
      </w:r>
    </w:p>
    <w:tbl>
      <w:tblPr>
        <w:tblStyle w:val="240"/>
        <w:tblpPr w:leftFromText="180" w:rightFromText="180" w:vertAnchor="text" w:horzAnchor="page" w:tblpX="1700" w:tblpY="379"/>
        <w:tblOverlap w:val="never"/>
        <w:tblW w:w="935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0"/>
        <w:gridCol w:w="7684"/>
      </w:tblGrid>
      <w:tr w14:paraId="590C5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670" w:type="dxa"/>
            <w:vAlign w:val="top"/>
          </w:tcPr>
          <w:p w14:paraId="741B008D">
            <w:pPr>
              <w:pStyle w:val="239"/>
              <w:spacing w:before="196" w:line="220" w:lineRule="auto"/>
              <w:ind w:left="363"/>
              <w:rPr>
                <w:color w:val="auto"/>
                <w:highlight w:val="none"/>
              </w:rPr>
            </w:pPr>
            <w:r>
              <w:rPr>
                <w:b/>
                <w:bCs/>
                <w:color w:val="auto"/>
                <w:spacing w:val="-4"/>
                <w:highlight w:val="none"/>
              </w:rPr>
              <w:t>评审因素</w:t>
            </w:r>
          </w:p>
        </w:tc>
        <w:tc>
          <w:tcPr>
            <w:tcW w:w="7684" w:type="dxa"/>
            <w:vAlign w:val="top"/>
          </w:tcPr>
          <w:p w14:paraId="2584ACEB">
            <w:pPr>
              <w:pStyle w:val="239"/>
              <w:spacing w:before="197" w:line="220" w:lineRule="auto"/>
              <w:ind w:left="3365"/>
              <w:rPr>
                <w:color w:val="auto"/>
                <w:highlight w:val="none"/>
              </w:rPr>
            </w:pPr>
            <w:r>
              <w:rPr>
                <w:b/>
                <w:bCs/>
                <w:color w:val="auto"/>
                <w:spacing w:val="-4"/>
                <w:highlight w:val="none"/>
              </w:rPr>
              <w:t>评审标准</w:t>
            </w:r>
          </w:p>
        </w:tc>
      </w:tr>
      <w:tr w14:paraId="207FD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88" w:hRule="atLeast"/>
        </w:trPr>
        <w:tc>
          <w:tcPr>
            <w:tcW w:w="1670" w:type="dxa"/>
            <w:vAlign w:val="top"/>
          </w:tcPr>
          <w:p w14:paraId="2268A0E1">
            <w:pPr>
              <w:spacing w:line="329" w:lineRule="auto"/>
              <w:rPr>
                <w:rFonts w:ascii="Arial"/>
                <w:color w:val="auto"/>
                <w:sz w:val="21"/>
                <w:highlight w:val="none"/>
              </w:rPr>
            </w:pPr>
          </w:p>
          <w:p w14:paraId="42E54CCE">
            <w:pPr>
              <w:spacing w:line="330" w:lineRule="auto"/>
              <w:rPr>
                <w:rFonts w:ascii="Arial"/>
                <w:color w:val="auto"/>
                <w:sz w:val="21"/>
                <w:highlight w:val="none"/>
              </w:rPr>
            </w:pPr>
          </w:p>
          <w:p w14:paraId="3CF42C98">
            <w:pPr>
              <w:pStyle w:val="239"/>
              <w:spacing w:before="68" w:line="277" w:lineRule="auto"/>
              <w:ind w:left="403" w:right="392" w:firstLine="22"/>
              <w:rPr>
                <w:color w:val="auto"/>
                <w:sz w:val="21"/>
                <w:szCs w:val="21"/>
                <w:highlight w:val="none"/>
              </w:rPr>
            </w:pPr>
            <w:r>
              <w:rPr>
                <w:color w:val="auto"/>
                <w:spacing w:val="-1"/>
                <w:sz w:val="21"/>
                <w:szCs w:val="21"/>
                <w:highlight w:val="none"/>
              </w:rPr>
              <w:t>体系认证</w:t>
            </w:r>
            <w:r>
              <w:rPr>
                <w:color w:val="auto"/>
                <w:spacing w:val="-7"/>
                <w:sz w:val="21"/>
                <w:szCs w:val="21"/>
                <w:highlight w:val="none"/>
              </w:rPr>
              <w:t>（</w:t>
            </w:r>
            <w:r>
              <w:rPr>
                <w:rFonts w:hint="eastAsia"/>
                <w:color w:val="auto"/>
                <w:spacing w:val="-7"/>
                <w:sz w:val="21"/>
                <w:szCs w:val="21"/>
                <w:highlight w:val="none"/>
                <w:lang w:val="en-US" w:eastAsia="zh-CN"/>
              </w:rPr>
              <w:t>5</w:t>
            </w:r>
            <w:r>
              <w:rPr>
                <w:color w:val="auto"/>
                <w:spacing w:val="-7"/>
                <w:sz w:val="21"/>
                <w:szCs w:val="21"/>
                <w:highlight w:val="none"/>
              </w:rPr>
              <w:t>分）</w:t>
            </w:r>
          </w:p>
        </w:tc>
        <w:tc>
          <w:tcPr>
            <w:tcW w:w="7684" w:type="dxa"/>
            <w:vAlign w:val="top"/>
          </w:tcPr>
          <w:p w14:paraId="18236865">
            <w:pPr>
              <w:pStyle w:val="239"/>
              <w:spacing w:before="50" w:line="220" w:lineRule="auto"/>
              <w:ind w:left="130"/>
              <w:rPr>
                <w:color w:val="auto"/>
                <w:sz w:val="21"/>
                <w:szCs w:val="21"/>
                <w:highlight w:val="none"/>
              </w:rPr>
            </w:pPr>
            <w:r>
              <w:rPr>
                <w:color w:val="auto"/>
                <w:spacing w:val="-2"/>
                <w:sz w:val="21"/>
                <w:szCs w:val="21"/>
                <w:highlight w:val="none"/>
              </w:rPr>
              <w:t>1、投标人具有有效的质量管理体系认证证书的得</w:t>
            </w:r>
            <w:r>
              <w:rPr>
                <w:color w:val="auto"/>
                <w:spacing w:val="-33"/>
                <w:sz w:val="21"/>
                <w:szCs w:val="21"/>
                <w:highlight w:val="none"/>
              </w:rPr>
              <w:t xml:space="preserve"> </w:t>
            </w:r>
            <w:r>
              <w:rPr>
                <w:rFonts w:hint="eastAsia"/>
                <w:color w:val="auto"/>
                <w:spacing w:val="-2"/>
                <w:sz w:val="21"/>
                <w:szCs w:val="21"/>
                <w:highlight w:val="none"/>
                <w:lang w:val="en-US" w:eastAsia="zh-CN"/>
              </w:rPr>
              <w:t>1</w:t>
            </w:r>
            <w:r>
              <w:rPr>
                <w:color w:val="auto"/>
                <w:spacing w:val="-2"/>
                <w:sz w:val="21"/>
                <w:szCs w:val="21"/>
                <w:highlight w:val="none"/>
              </w:rPr>
              <w:t>分；</w:t>
            </w:r>
          </w:p>
          <w:p w14:paraId="38E2EE85">
            <w:pPr>
              <w:pStyle w:val="239"/>
              <w:spacing w:before="61" w:line="220" w:lineRule="auto"/>
              <w:ind w:left="117"/>
              <w:rPr>
                <w:color w:val="auto"/>
                <w:sz w:val="21"/>
                <w:szCs w:val="21"/>
                <w:highlight w:val="none"/>
              </w:rPr>
            </w:pPr>
            <w:r>
              <w:rPr>
                <w:color w:val="auto"/>
                <w:spacing w:val="1"/>
                <w:sz w:val="21"/>
                <w:szCs w:val="21"/>
                <w:highlight w:val="none"/>
              </w:rPr>
              <w:t>2、投标人具有有效的环境管理体系认证证书得</w:t>
            </w:r>
            <w:r>
              <w:rPr>
                <w:rFonts w:hint="eastAsia"/>
                <w:color w:val="auto"/>
                <w:spacing w:val="1"/>
                <w:sz w:val="21"/>
                <w:szCs w:val="21"/>
                <w:highlight w:val="none"/>
                <w:lang w:val="en-US" w:eastAsia="zh-CN"/>
              </w:rPr>
              <w:t>1</w:t>
            </w:r>
            <w:r>
              <w:rPr>
                <w:color w:val="auto"/>
                <w:spacing w:val="-32"/>
                <w:sz w:val="21"/>
                <w:szCs w:val="21"/>
                <w:highlight w:val="none"/>
              </w:rPr>
              <w:t xml:space="preserve"> </w:t>
            </w:r>
            <w:r>
              <w:rPr>
                <w:color w:val="auto"/>
                <w:spacing w:val="1"/>
                <w:sz w:val="21"/>
                <w:szCs w:val="21"/>
                <w:highlight w:val="none"/>
              </w:rPr>
              <w:t>分；</w:t>
            </w:r>
          </w:p>
          <w:p w14:paraId="2AB46407">
            <w:pPr>
              <w:pStyle w:val="239"/>
              <w:spacing w:before="62" w:line="220" w:lineRule="auto"/>
              <w:ind w:left="119"/>
              <w:rPr>
                <w:color w:val="auto"/>
                <w:sz w:val="21"/>
                <w:szCs w:val="21"/>
                <w:highlight w:val="none"/>
              </w:rPr>
            </w:pPr>
            <w:r>
              <w:rPr>
                <w:color w:val="auto"/>
                <w:spacing w:val="1"/>
                <w:sz w:val="21"/>
                <w:szCs w:val="21"/>
                <w:highlight w:val="none"/>
              </w:rPr>
              <w:t>3、投标人具有有效的职业健康安全管理体系证书得</w:t>
            </w:r>
            <w:r>
              <w:rPr>
                <w:rFonts w:hint="eastAsia"/>
                <w:color w:val="auto"/>
                <w:spacing w:val="1"/>
                <w:sz w:val="21"/>
                <w:szCs w:val="21"/>
                <w:highlight w:val="none"/>
                <w:lang w:val="en-US" w:eastAsia="zh-CN"/>
              </w:rPr>
              <w:t>1</w:t>
            </w:r>
            <w:r>
              <w:rPr>
                <w:color w:val="auto"/>
                <w:spacing w:val="-37"/>
                <w:sz w:val="21"/>
                <w:szCs w:val="21"/>
                <w:highlight w:val="none"/>
              </w:rPr>
              <w:t xml:space="preserve"> </w:t>
            </w:r>
            <w:r>
              <w:rPr>
                <w:color w:val="auto"/>
                <w:spacing w:val="1"/>
                <w:sz w:val="21"/>
                <w:szCs w:val="21"/>
                <w:highlight w:val="none"/>
              </w:rPr>
              <w:t>分；</w:t>
            </w:r>
          </w:p>
          <w:p w14:paraId="44CCC096">
            <w:pPr>
              <w:pStyle w:val="239"/>
              <w:spacing w:before="61" w:line="221" w:lineRule="auto"/>
              <w:ind w:left="114"/>
              <w:rPr>
                <w:color w:val="auto"/>
                <w:sz w:val="21"/>
                <w:szCs w:val="21"/>
                <w:highlight w:val="none"/>
              </w:rPr>
            </w:pPr>
            <w:r>
              <w:rPr>
                <w:color w:val="auto"/>
                <w:spacing w:val="-1"/>
                <w:sz w:val="21"/>
                <w:szCs w:val="21"/>
                <w:highlight w:val="none"/>
              </w:rPr>
              <w:t>4、投标人通过食品安全管理管理体系认证（有限期内）得</w:t>
            </w:r>
            <w:r>
              <w:rPr>
                <w:color w:val="auto"/>
                <w:spacing w:val="-37"/>
                <w:sz w:val="21"/>
                <w:szCs w:val="21"/>
                <w:highlight w:val="none"/>
              </w:rPr>
              <w:t xml:space="preserve"> </w:t>
            </w:r>
            <w:r>
              <w:rPr>
                <w:rFonts w:hint="eastAsia"/>
                <w:color w:val="auto"/>
                <w:spacing w:val="-1"/>
                <w:sz w:val="21"/>
                <w:szCs w:val="21"/>
                <w:highlight w:val="none"/>
                <w:lang w:val="en-US" w:eastAsia="zh-CN"/>
              </w:rPr>
              <w:t>1</w:t>
            </w:r>
            <w:r>
              <w:rPr>
                <w:color w:val="auto"/>
                <w:spacing w:val="-42"/>
                <w:sz w:val="21"/>
                <w:szCs w:val="21"/>
                <w:highlight w:val="none"/>
              </w:rPr>
              <w:t xml:space="preserve"> </w:t>
            </w:r>
            <w:r>
              <w:rPr>
                <w:color w:val="auto"/>
                <w:spacing w:val="-1"/>
                <w:sz w:val="21"/>
                <w:szCs w:val="21"/>
                <w:highlight w:val="none"/>
              </w:rPr>
              <w:t>分；</w:t>
            </w:r>
          </w:p>
          <w:p w14:paraId="7C25FDEC">
            <w:pPr>
              <w:pStyle w:val="239"/>
              <w:spacing w:before="60" w:line="221" w:lineRule="auto"/>
              <w:ind w:left="119"/>
              <w:rPr>
                <w:color w:val="auto"/>
                <w:sz w:val="21"/>
                <w:szCs w:val="21"/>
                <w:highlight w:val="none"/>
              </w:rPr>
            </w:pPr>
            <w:r>
              <w:rPr>
                <w:color w:val="auto"/>
                <w:spacing w:val="-3"/>
                <w:sz w:val="21"/>
                <w:szCs w:val="21"/>
                <w:highlight w:val="none"/>
              </w:rPr>
              <w:t>5、投标人通过</w:t>
            </w:r>
            <w:r>
              <w:rPr>
                <w:color w:val="auto"/>
                <w:spacing w:val="-36"/>
                <w:sz w:val="21"/>
                <w:szCs w:val="21"/>
                <w:highlight w:val="none"/>
              </w:rPr>
              <w:t xml:space="preserve"> </w:t>
            </w:r>
            <w:r>
              <w:rPr>
                <w:color w:val="auto"/>
                <w:spacing w:val="-3"/>
                <w:sz w:val="21"/>
                <w:szCs w:val="21"/>
                <w:highlight w:val="none"/>
              </w:rPr>
              <w:t>HACCP</w:t>
            </w:r>
            <w:r>
              <w:rPr>
                <w:color w:val="auto"/>
                <w:spacing w:val="-46"/>
                <w:sz w:val="21"/>
                <w:szCs w:val="21"/>
                <w:highlight w:val="none"/>
              </w:rPr>
              <w:t xml:space="preserve"> </w:t>
            </w:r>
            <w:r>
              <w:rPr>
                <w:color w:val="auto"/>
                <w:spacing w:val="-3"/>
                <w:sz w:val="21"/>
                <w:szCs w:val="21"/>
                <w:highlight w:val="none"/>
              </w:rPr>
              <w:t>危害分析与关键控制点体系（有效期内）</w:t>
            </w:r>
            <w:r>
              <w:rPr>
                <w:color w:val="auto"/>
                <w:spacing w:val="-53"/>
                <w:sz w:val="21"/>
                <w:szCs w:val="21"/>
                <w:highlight w:val="none"/>
              </w:rPr>
              <w:t xml:space="preserve"> </w:t>
            </w:r>
            <w:r>
              <w:rPr>
                <w:color w:val="auto"/>
                <w:spacing w:val="-3"/>
                <w:sz w:val="21"/>
                <w:szCs w:val="21"/>
                <w:highlight w:val="none"/>
              </w:rPr>
              <w:t>的得</w:t>
            </w:r>
            <w:r>
              <w:rPr>
                <w:rFonts w:hint="eastAsia"/>
                <w:color w:val="auto"/>
                <w:spacing w:val="-41"/>
                <w:sz w:val="21"/>
                <w:szCs w:val="21"/>
                <w:highlight w:val="none"/>
                <w:lang w:val="en-US" w:eastAsia="zh-CN"/>
              </w:rPr>
              <w:t>1</w:t>
            </w:r>
            <w:r>
              <w:rPr>
                <w:color w:val="auto"/>
                <w:spacing w:val="-41"/>
                <w:sz w:val="21"/>
                <w:szCs w:val="21"/>
                <w:highlight w:val="none"/>
              </w:rPr>
              <w:t xml:space="preserve"> </w:t>
            </w:r>
            <w:r>
              <w:rPr>
                <w:color w:val="auto"/>
                <w:spacing w:val="-3"/>
                <w:sz w:val="21"/>
                <w:szCs w:val="21"/>
                <w:highlight w:val="none"/>
              </w:rPr>
              <w:t>分；</w:t>
            </w:r>
          </w:p>
          <w:p w14:paraId="19632521">
            <w:pPr>
              <w:pStyle w:val="239"/>
              <w:spacing w:before="61" w:line="220" w:lineRule="auto"/>
              <w:ind w:left="116"/>
              <w:rPr>
                <w:color w:val="auto"/>
                <w:sz w:val="21"/>
                <w:szCs w:val="21"/>
                <w:highlight w:val="none"/>
              </w:rPr>
            </w:pPr>
            <w:r>
              <w:rPr>
                <w:rFonts w:hint="default" w:ascii="Times New Roman" w:hAnsi="Times New Roman" w:eastAsia="宋体" w:cs="Times New Roman"/>
                <w:b/>
                <w:bCs/>
                <w:color w:val="auto"/>
                <w:sz w:val="21"/>
                <w:szCs w:val="21"/>
                <w:highlight w:val="none"/>
              </w:rPr>
              <w:t>注：提供证书原件的扫描件上传至投标文件中，否则不得分。</w:t>
            </w:r>
          </w:p>
        </w:tc>
      </w:tr>
    </w:tbl>
    <w:tbl>
      <w:tblPr>
        <w:tblStyle w:val="240"/>
        <w:tblpPr w:leftFromText="180" w:rightFromText="180" w:vertAnchor="text" w:horzAnchor="page" w:tblpX="1700" w:tblpY="2004"/>
        <w:tblOverlap w:val="never"/>
        <w:tblW w:w="935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0"/>
        <w:gridCol w:w="7684"/>
      </w:tblGrid>
      <w:tr w14:paraId="449F0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1670" w:type="dxa"/>
            <w:shd w:val="clear" w:color="auto" w:fill="auto"/>
            <w:vAlign w:val="top"/>
          </w:tcPr>
          <w:p w14:paraId="43EBEAAB">
            <w:pPr>
              <w:spacing w:line="300" w:lineRule="auto"/>
              <w:rPr>
                <w:rFonts w:ascii="Arial"/>
                <w:color w:val="auto"/>
                <w:sz w:val="21"/>
                <w:highlight w:val="none"/>
              </w:rPr>
            </w:pPr>
          </w:p>
          <w:p w14:paraId="6CC0C36B">
            <w:pPr>
              <w:spacing w:line="301" w:lineRule="auto"/>
              <w:rPr>
                <w:rFonts w:ascii="Arial"/>
                <w:color w:val="auto"/>
                <w:sz w:val="21"/>
                <w:highlight w:val="none"/>
              </w:rPr>
            </w:pPr>
          </w:p>
          <w:p w14:paraId="289D8652">
            <w:pPr>
              <w:pStyle w:val="239"/>
              <w:spacing w:before="69" w:line="277" w:lineRule="auto"/>
              <w:ind w:left="403" w:leftChars="0" w:right="392" w:rightChars="0" w:firstLine="24" w:firstLineChars="0"/>
              <w:rPr>
                <w:rFonts w:hint="default" w:ascii="宋体" w:hAnsi="宋体" w:eastAsia="宋体" w:cs="宋体"/>
                <w:color w:val="auto"/>
                <w:sz w:val="21"/>
                <w:szCs w:val="21"/>
                <w:highlight w:val="none"/>
                <w:lang w:val="en-US" w:eastAsia="en-US" w:bidi="ar-SA"/>
              </w:rPr>
            </w:pPr>
            <w:r>
              <w:rPr>
                <w:color w:val="auto"/>
                <w:spacing w:val="-2"/>
                <w:sz w:val="21"/>
                <w:szCs w:val="21"/>
                <w:highlight w:val="none"/>
              </w:rPr>
              <w:t>人员配置</w:t>
            </w:r>
            <w:r>
              <w:rPr>
                <w:color w:val="auto"/>
                <w:spacing w:val="-7"/>
                <w:sz w:val="21"/>
                <w:szCs w:val="21"/>
                <w:highlight w:val="none"/>
              </w:rPr>
              <w:t>（</w:t>
            </w:r>
            <w:r>
              <w:rPr>
                <w:rFonts w:hint="eastAsia"/>
                <w:color w:val="auto"/>
                <w:spacing w:val="-7"/>
                <w:sz w:val="21"/>
                <w:szCs w:val="21"/>
                <w:highlight w:val="none"/>
                <w:lang w:val="en-US" w:eastAsia="zh-CN"/>
              </w:rPr>
              <w:t>11</w:t>
            </w:r>
            <w:r>
              <w:rPr>
                <w:color w:val="auto"/>
                <w:spacing w:val="-7"/>
                <w:sz w:val="21"/>
                <w:szCs w:val="21"/>
                <w:highlight w:val="none"/>
              </w:rPr>
              <w:t>分）</w:t>
            </w:r>
          </w:p>
        </w:tc>
        <w:tc>
          <w:tcPr>
            <w:tcW w:w="7684" w:type="dxa"/>
            <w:shd w:val="clear" w:color="auto" w:fill="FFFFFF"/>
            <w:vAlign w:val="top"/>
          </w:tcPr>
          <w:p w14:paraId="611AEF7B">
            <w:pPr>
              <w:pStyle w:val="239"/>
              <w:spacing w:before="50" w:line="274" w:lineRule="auto"/>
              <w:ind w:left="120" w:right="101" w:firstLine="9"/>
              <w:rPr>
                <w:color w:val="auto"/>
                <w:sz w:val="21"/>
                <w:szCs w:val="21"/>
                <w:highlight w:val="none"/>
              </w:rPr>
            </w:pPr>
            <w:r>
              <w:rPr>
                <w:rFonts w:hint="eastAsia"/>
                <w:color w:val="auto"/>
                <w:spacing w:val="-1"/>
                <w:sz w:val="21"/>
                <w:szCs w:val="21"/>
                <w:highlight w:val="none"/>
                <w:lang w:val="en-US" w:eastAsia="zh-CN"/>
              </w:rPr>
              <w:t>1</w:t>
            </w:r>
            <w:r>
              <w:rPr>
                <w:color w:val="auto"/>
                <w:spacing w:val="-1"/>
                <w:sz w:val="21"/>
                <w:szCs w:val="21"/>
                <w:highlight w:val="none"/>
              </w:rPr>
              <w:t>、拟派厨师中具有中式烹调师三级及以上职业资格证书的，每有一个得</w:t>
            </w:r>
            <w:r>
              <w:rPr>
                <w:color w:val="auto"/>
                <w:spacing w:val="-39"/>
                <w:sz w:val="21"/>
                <w:szCs w:val="21"/>
                <w:highlight w:val="none"/>
              </w:rPr>
              <w:t xml:space="preserve"> </w:t>
            </w:r>
            <w:r>
              <w:rPr>
                <w:rFonts w:hint="eastAsia"/>
                <w:color w:val="auto"/>
                <w:spacing w:val="-1"/>
                <w:sz w:val="21"/>
                <w:szCs w:val="21"/>
                <w:highlight w:val="none"/>
                <w:lang w:val="en-US" w:eastAsia="zh-CN"/>
              </w:rPr>
              <w:t>4</w:t>
            </w:r>
            <w:r>
              <w:rPr>
                <w:color w:val="auto"/>
                <w:spacing w:val="-2"/>
                <w:sz w:val="21"/>
                <w:szCs w:val="21"/>
                <w:highlight w:val="none"/>
              </w:rPr>
              <w:t>分，最</w:t>
            </w:r>
            <w:r>
              <w:rPr>
                <w:color w:val="auto"/>
                <w:spacing w:val="-11"/>
                <w:sz w:val="21"/>
                <w:szCs w:val="21"/>
                <w:highlight w:val="none"/>
              </w:rPr>
              <w:t>高得</w:t>
            </w:r>
            <w:r>
              <w:rPr>
                <w:rFonts w:hint="eastAsia"/>
                <w:color w:val="auto"/>
                <w:spacing w:val="-39"/>
                <w:sz w:val="21"/>
                <w:szCs w:val="21"/>
                <w:highlight w:val="none"/>
                <w:lang w:val="en-US" w:eastAsia="zh-CN"/>
              </w:rPr>
              <w:t>8</w:t>
            </w:r>
            <w:r>
              <w:rPr>
                <w:color w:val="auto"/>
                <w:spacing w:val="-11"/>
                <w:sz w:val="21"/>
                <w:szCs w:val="21"/>
                <w:highlight w:val="none"/>
              </w:rPr>
              <w:t>分；</w:t>
            </w:r>
          </w:p>
          <w:p w14:paraId="7DFF86F5">
            <w:pPr>
              <w:pStyle w:val="239"/>
              <w:spacing w:before="1" w:line="274" w:lineRule="auto"/>
              <w:ind w:left="117" w:right="148"/>
              <w:rPr>
                <w:color w:val="auto"/>
                <w:sz w:val="21"/>
                <w:szCs w:val="21"/>
                <w:highlight w:val="none"/>
              </w:rPr>
            </w:pPr>
            <w:r>
              <w:rPr>
                <w:rFonts w:hint="eastAsia"/>
                <w:color w:val="auto"/>
                <w:spacing w:val="-2"/>
                <w:sz w:val="21"/>
                <w:szCs w:val="21"/>
                <w:highlight w:val="none"/>
                <w:lang w:val="en-US" w:eastAsia="zh-CN"/>
              </w:rPr>
              <w:t>2</w:t>
            </w:r>
            <w:r>
              <w:rPr>
                <w:color w:val="auto"/>
                <w:spacing w:val="-2"/>
                <w:sz w:val="21"/>
                <w:szCs w:val="21"/>
                <w:highlight w:val="none"/>
              </w:rPr>
              <w:t>、拟派面点师中具有中式面点师三级及以上职业资格证书的，每有一个</w:t>
            </w:r>
            <w:r>
              <w:rPr>
                <w:color w:val="auto"/>
                <w:spacing w:val="-3"/>
                <w:sz w:val="21"/>
                <w:szCs w:val="21"/>
                <w:highlight w:val="none"/>
              </w:rPr>
              <w:t>得</w:t>
            </w:r>
            <w:r>
              <w:rPr>
                <w:color w:val="auto"/>
                <w:spacing w:val="-36"/>
                <w:sz w:val="21"/>
                <w:szCs w:val="21"/>
                <w:highlight w:val="none"/>
              </w:rPr>
              <w:t xml:space="preserve"> </w:t>
            </w:r>
            <w:r>
              <w:rPr>
                <w:rFonts w:hint="eastAsia"/>
                <w:color w:val="auto"/>
                <w:spacing w:val="-3"/>
                <w:sz w:val="21"/>
                <w:szCs w:val="21"/>
                <w:highlight w:val="none"/>
                <w:lang w:val="en-US" w:eastAsia="zh-CN"/>
              </w:rPr>
              <w:t>3</w:t>
            </w:r>
            <w:r>
              <w:rPr>
                <w:color w:val="auto"/>
                <w:spacing w:val="-37"/>
                <w:sz w:val="21"/>
                <w:szCs w:val="21"/>
                <w:highlight w:val="none"/>
              </w:rPr>
              <w:t xml:space="preserve"> </w:t>
            </w:r>
            <w:r>
              <w:rPr>
                <w:color w:val="auto"/>
                <w:spacing w:val="-3"/>
                <w:sz w:val="21"/>
                <w:szCs w:val="21"/>
                <w:highlight w:val="none"/>
              </w:rPr>
              <w:t>分，</w:t>
            </w:r>
            <w:r>
              <w:rPr>
                <w:color w:val="auto"/>
                <w:spacing w:val="-9"/>
                <w:sz w:val="21"/>
                <w:szCs w:val="21"/>
                <w:highlight w:val="none"/>
              </w:rPr>
              <w:t>最高得</w:t>
            </w:r>
            <w:r>
              <w:rPr>
                <w:color w:val="auto"/>
                <w:spacing w:val="-38"/>
                <w:sz w:val="21"/>
                <w:szCs w:val="21"/>
                <w:highlight w:val="none"/>
              </w:rPr>
              <w:t xml:space="preserve"> </w:t>
            </w:r>
            <w:r>
              <w:rPr>
                <w:rFonts w:hint="eastAsia"/>
                <w:color w:val="auto"/>
                <w:spacing w:val="-9"/>
                <w:sz w:val="21"/>
                <w:szCs w:val="21"/>
                <w:highlight w:val="none"/>
                <w:lang w:val="en-US" w:eastAsia="zh-CN"/>
              </w:rPr>
              <w:t>3</w:t>
            </w:r>
            <w:r>
              <w:rPr>
                <w:color w:val="auto"/>
                <w:spacing w:val="-9"/>
                <w:sz w:val="21"/>
                <w:szCs w:val="21"/>
                <w:highlight w:val="none"/>
              </w:rPr>
              <w:t>分；</w:t>
            </w:r>
          </w:p>
          <w:p w14:paraId="02D13328">
            <w:pPr>
              <w:pStyle w:val="239"/>
              <w:spacing w:before="1" w:line="249" w:lineRule="auto"/>
              <w:ind w:left="116" w:leftChars="0" w:right="182" w:rightChars="0"/>
              <w:rPr>
                <w:rFonts w:hint="default" w:ascii="宋体" w:hAnsi="宋体" w:eastAsia="宋体" w:cs="宋体"/>
                <w:color w:val="auto"/>
                <w:sz w:val="21"/>
                <w:szCs w:val="21"/>
                <w:highlight w:val="none"/>
                <w:lang w:val="en-US" w:eastAsia="en-US" w:bidi="ar-SA"/>
              </w:rPr>
            </w:pPr>
            <w:r>
              <w:rPr>
                <w:rFonts w:hint="default" w:ascii="Times New Roman" w:hAnsi="Times New Roman" w:eastAsia="宋体" w:cs="Times New Roman"/>
                <w:b/>
                <w:bCs/>
                <w:color w:val="auto"/>
                <w:sz w:val="21"/>
                <w:szCs w:val="21"/>
                <w:highlight w:val="none"/>
              </w:rPr>
              <w:t>注：</w:t>
            </w:r>
            <w:r>
              <w:rPr>
                <w:b/>
                <w:bCs/>
                <w:color w:val="auto"/>
                <w:spacing w:val="-4"/>
                <w:sz w:val="21"/>
                <w:szCs w:val="21"/>
                <w:highlight w:val="none"/>
              </w:rPr>
              <w:t>上述</w:t>
            </w:r>
            <w:r>
              <w:rPr>
                <w:color w:val="auto"/>
                <w:spacing w:val="-27"/>
                <w:sz w:val="21"/>
                <w:szCs w:val="21"/>
                <w:highlight w:val="none"/>
              </w:rPr>
              <w:t xml:space="preserve"> </w:t>
            </w:r>
            <w:r>
              <w:rPr>
                <w:b/>
                <w:bCs/>
                <w:color w:val="auto"/>
                <w:spacing w:val="-4"/>
                <w:sz w:val="21"/>
                <w:szCs w:val="21"/>
                <w:highlight w:val="none"/>
              </w:rPr>
              <w:t>1-</w:t>
            </w:r>
            <w:r>
              <w:rPr>
                <w:rFonts w:hint="eastAsia"/>
                <w:b/>
                <w:bCs/>
                <w:color w:val="auto"/>
                <w:spacing w:val="-4"/>
                <w:sz w:val="21"/>
                <w:szCs w:val="21"/>
                <w:highlight w:val="none"/>
                <w:lang w:val="en-US" w:eastAsia="zh-CN"/>
              </w:rPr>
              <w:t>2</w:t>
            </w:r>
            <w:r>
              <w:rPr>
                <w:b/>
                <w:bCs/>
                <w:color w:val="auto"/>
                <w:spacing w:val="-4"/>
                <w:sz w:val="21"/>
                <w:szCs w:val="21"/>
                <w:highlight w:val="none"/>
              </w:rPr>
              <w:t>项投标文件中提供相应</w:t>
            </w:r>
            <w:r>
              <w:rPr>
                <w:rFonts w:hint="eastAsia"/>
                <w:b/>
                <w:bCs/>
                <w:color w:val="auto"/>
                <w:spacing w:val="-4"/>
                <w:sz w:val="21"/>
                <w:szCs w:val="21"/>
                <w:highlight w:val="none"/>
                <w:lang w:val="en-US" w:eastAsia="zh-CN"/>
              </w:rPr>
              <w:t>资格</w:t>
            </w:r>
            <w:r>
              <w:rPr>
                <w:b/>
                <w:bCs/>
                <w:color w:val="auto"/>
                <w:spacing w:val="-4"/>
                <w:sz w:val="21"/>
                <w:szCs w:val="21"/>
                <w:highlight w:val="none"/>
              </w:rPr>
              <w:t>证书及</w:t>
            </w:r>
            <w:r>
              <w:rPr>
                <w:color w:val="auto"/>
                <w:spacing w:val="-41"/>
                <w:sz w:val="21"/>
                <w:szCs w:val="21"/>
                <w:highlight w:val="none"/>
              </w:rPr>
              <w:t xml:space="preserve"> </w:t>
            </w:r>
            <w:r>
              <w:rPr>
                <w:b/>
                <w:bCs/>
                <w:color w:val="auto"/>
                <w:spacing w:val="-4"/>
                <w:sz w:val="21"/>
                <w:szCs w:val="21"/>
                <w:highlight w:val="none"/>
              </w:rPr>
              <w:t>202</w:t>
            </w:r>
            <w:r>
              <w:rPr>
                <w:rFonts w:hint="eastAsia"/>
                <w:b/>
                <w:bCs/>
                <w:color w:val="auto"/>
                <w:spacing w:val="-4"/>
                <w:sz w:val="21"/>
                <w:szCs w:val="21"/>
                <w:highlight w:val="none"/>
                <w:lang w:val="en-US" w:eastAsia="zh-CN"/>
              </w:rPr>
              <w:t>6</w:t>
            </w:r>
            <w:r>
              <w:rPr>
                <w:b/>
                <w:bCs/>
                <w:color w:val="auto"/>
                <w:spacing w:val="-4"/>
                <w:sz w:val="21"/>
                <w:szCs w:val="21"/>
                <w:highlight w:val="none"/>
              </w:rPr>
              <w:t>年</w:t>
            </w:r>
            <w:r>
              <w:rPr>
                <w:rFonts w:hint="eastAsia"/>
                <w:b/>
                <w:bCs/>
                <w:color w:val="auto"/>
                <w:spacing w:val="-4"/>
                <w:sz w:val="21"/>
                <w:szCs w:val="21"/>
                <w:highlight w:val="none"/>
                <w:lang w:val="en-US" w:eastAsia="zh-CN"/>
              </w:rPr>
              <w:t>02</w:t>
            </w:r>
            <w:r>
              <w:rPr>
                <w:b/>
                <w:bCs/>
                <w:color w:val="auto"/>
                <w:spacing w:val="-4"/>
                <w:sz w:val="21"/>
                <w:szCs w:val="21"/>
                <w:highlight w:val="none"/>
              </w:rPr>
              <w:t>月至今任意</w:t>
            </w:r>
            <w:r>
              <w:rPr>
                <w:rFonts w:hint="eastAsia"/>
                <w:b/>
                <w:bCs/>
                <w:color w:val="auto"/>
                <w:spacing w:val="-4"/>
                <w:sz w:val="21"/>
                <w:szCs w:val="21"/>
                <w:highlight w:val="none"/>
                <w:lang w:val="en-US" w:eastAsia="zh-CN"/>
              </w:rPr>
              <w:t>1个月</w:t>
            </w:r>
            <w:r>
              <w:rPr>
                <w:b/>
                <w:bCs/>
                <w:color w:val="auto"/>
                <w:spacing w:val="-4"/>
                <w:sz w:val="21"/>
                <w:szCs w:val="21"/>
                <w:highlight w:val="none"/>
              </w:rPr>
              <w:t>由投标</w:t>
            </w:r>
            <w:r>
              <w:rPr>
                <w:b/>
                <w:bCs/>
                <w:color w:val="auto"/>
                <w:spacing w:val="-3"/>
                <w:sz w:val="21"/>
                <w:szCs w:val="21"/>
                <w:highlight w:val="none"/>
              </w:rPr>
              <w:t>人为其缴纳的社保证明材料扫描件，否则不得分。</w:t>
            </w:r>
          </w:p>
        </w:tc>
      </w:tr>
      <w:tr w14:paraId="1AF64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1670" w:type="dxa"/>
            <w:shd w:val="clear" w:color="auto" w:fill="auto"/>
            <w:vAlign w:val="top"/>
          </w:tcPr>
          <w:p w14:paraId="5BAD9B6B">
            <w:pPr>
              <w:spacing w:line="275" w:lineRule="auto"/>
              <w:rPr>
                <w:rFonts w:ascii="Arial"/>
                <w:color w:val="auto"/>
                <w:sz w:val="21"/>
                <w:highlight w:val="none"/>
              </w:rPr>
            </w:pPr>
          </w:p>
          <w:p w14:paraId="103A9C1B">
            <w:pPr>
              <w:pStyle w:val="239"/>
              <w:spacing w:before="69" w:line="221" w:lineRule="auto"/>
              <w:ind w:left="217"/>
              <w:rPr>
                <w:color w:val="auto"/>
                <w:sz w:val="21"/>
                <w:szCs w:val="21"/>
                <w:highlight w:val="none"/>
              </w:rPr>
            </w:pPr>
            <w:r>
              <w:rPr>
                <w:color w:val="auto"/>
                <w:spacing w:val="-2"/>
                <w:sz w:val="21"/>
                <w:szCs w:val="21"/>
                <w:highlight w:val="none"/>
              </w:rPr>
              <w:t>企业业绩及服</w:t>
            </w:r>
          </w:p>
          <w:p w14:paraId="5DBABEB5">
            <w:pPr>
              <w:pStyle w:val="239"/>
              <w:spacing w:before="59" w:line="221" w:lineRule="auto"/>
              <w:ind w:left="427"/>
              <w:rPr>
                <w:color w:val="auto"/>
                <w:sz w:val="21"/>
                <w:szCs w:val="21"/>
                <w:highlight w:val="none"/>
              </w:rPr>
            </w:pPr>
            <w:r>
              <w:rPr>
                <w:color w:val="auto"/>
                <w:spacing w:val="-1"/>
                <w:sz w:val="21"/>
                <w:szCs w:val="21"/>
                <w:highlight w:val="none"/>
              </w:rPr>
              <w:t>务满意度</w:t>
            </w:r>
          </w:p>
          <w:p w14:paraId="531FEBC6">
            <w:pPr>
              <w:pStyle w:val="239"/>
              <w:spacing w:before="61" w:line="221" w:lineRule="auto"/>
              <w:ind w:left="403" w:leftChars="0"/>
              <w:rPr>
                <w:rFonts w:hint="default" w:ascii="宋体" w:hAnsi="宋体" w:eastAsia="宋体" w:cs="宋体"/>
                <w:color w:val="auto"/>
                <w:sz w:val="21"/>
                <w:szCs w:val="21"/>
                <w:highlight w:val="none"/>
                <w:lang w:val="en-US" w:eastAsia="en-US" w:bidi="ar-SA"/>
              </w:rPr>
            </w:pPr>
            <w:r>
              <w:rPr>
                <w:color w:val="auto"/>
                <w:spacing w:val="-5"/>
                <w:sz w:val="21"/>
                <w:szCs w:val="21"/>
                <w:highlight w:val="none"/>
              </w:rPr>
              <w:t>（2</w:t>
            </w:r>
            <w:r>
              <w:rPr>
                <w:rFonts w:hint="eastAsia"/>
                <w:color w:val="auto"/>
                <w:spacing w:val="-5"/>
                <w:sz w:val="21"/>
                <w:szCs w:val="21"/>
                <w:highlight w:val="none"/>
                <w:lang w:val="en-US" w:eastAsia="zh-CN"/>
              </w:rPr>
              <w:t>4</w:t>
            </w:r>
            <w:r>
              <w:rPr>
                <w:color w:val="auto"/>
                <w:spacing w:val="-39"/>
                <w:sz w:val="21"/>
                <w:szCs w:val="21"/>
                <w:highlight w:val="none"/>
              </w:rPr>
              <w:t xml:space="preserve"> </w:t>
            </w:r>
            <w:r>
              <w:rPr>
                <w:color w:val="auto"/>
                <w:spacing w:val="-5"/>
                <w:sz w:val="21"/>
                <w:szCs w:val="21"/>
                <w:highlight w:val="none"/>
              </w:rPr>
              <w:t>分）</w:t>
            </w:r>
          </w:p>
        </w:tc>
        <w:tc>
          <w:tcPr>
            <w:tcW w:w="7684" w:type="dxa"/>
            <w:shd w:val="clear" w:color="auto" w:fill="auto"/>
            <w:vAlign w:val="top"/>
          </w:tcPr>
          <w:p w14:paraId="65A836D8">
            <w:pPr>
              <w:pStyle w:val="239"/>
              <w:spacing w:before="51" w:line="274" w:lineRule="auto"/>
              <w:ind w:left="117" w:right="105"/>
              <w:rPr>
                <w:color w:val="auto"/>
                <w:sz w:val="21"/>
                <w:szCs w:val="21"/>
                <w:highlight w:val="none"/>
              </w:rPr>
            </w:pPr>
            <w:r>
              <w:rPr>
                <w:rFonts w:hint="eastAsia"/>
                <w:color w:val="auto"/>
                <w:spacing w:val="-5"/>
                <w:sz w:val="21"/>
                <w:szCs w:val="21"/>
                <w:highlight w:val="none"/>
                <w:lang w:val="en-US" w:eastAsia="zh-CN"/>
              </w:rPr>
              <w:t>1、</w:t>
            </w:r>
            <w:r>
              <w:rPr>
                <w:color w:val="auto"/>
                <w:spacing w:val="-5"/>
                <w:sz w:val="21"/>
                <w:szCs w:val="21"/>
                <w:highlight w:val="none"/>
              </w:rPr>
              <w:t>投标人自</w:t>
            </w:r>
            <w:r>
              <w:rPr>
                <w:color w:val="auto"/>
                <w:spacing w:val="-22"/>
                <w:sz w:val="21"/>
                <w:szCs w:val="21"/>
                <w:highlight w:val="none"/>
              </w:rPr>
              <w:t xml:space="preserve"> </w:t>
            </w:r>
            <w:r>
              <w:rPr>
                <w:color w:val="auto"/>
                <w:spacing w:val="-5"/>
                <w:sz w:val="21"/>
                <w:szCs w:val="21"/>
                <w:highlight w:val="none"/>
              </w:rPr>
              <w:t>202</w:t>
            </w:r>
            <w:r>
              <w:rPr>
                <w:rFonts w:hint="eastAsia"/>
                <w:color w:val="auto"/>
                <w:spacing w:val="-5"/>
                <w:sz w:val="21"/>
                <w:szCs w:val="21"/>
                <w:highlight w:val="none"/>
                <w:lang w:val="en-US" w:eastAsia="zh-CN"/>
              </w:rPr>
              <w:t>3</w:t>
            </w:r>
            <w:r>
              <w:rPr>
                <w:color w:val="auto"/>
                <w:spacing w:val="-5"/>
                <w:sz w:val="21"/>
                <w:szCs w:val="21"/>
                <w:highlight w:val="none"/>
              </w:rPr>
              <w:t xml:space="preserve">年 </w:t>
            </w:r>
            <w:r>
              <w:rPr>
                <w:rFonts w:hint="eastAsia"/>
                <w:color w:val="auto"/>
                <w:spacing w:val="-5"/>
                <w:sz w:val="21"/>
                <w:szCs w:val="21"/>
                <w:highlight w:val="none"/>
                <w:lang w:val="en-US" w:eastAsia="zh-CN"/>
              </w:rPr>
              <w:t>0</w:t>
            </w:r>
            <w:r>
              <w:rPr>
                <w:color w:val="auto"/>
                <w:spacing w:val="-5"/>
                <w:sz w:val="21"/>
                <w:szCs w:val="21"/>
                <w:highlight w:val="none"/>
              </w:rPr>
              <w:t>1 月</w:t>
            </w:r>
            <w:r>
              <w:rPr>
                <w:rFonts w:hint="eastAsia"/>
                <w:color w:val="auto"/>
                <w:spacing w:val="-5"/>
                <w:sz w:val="21"/>
                <w:szCs w:val="21"/>
                <w:highlight w:val="none"/>
                <w:lang w:val="en-US" w:eastAsia="zh-CN"/>
              </w:rPr>
              <w:t>0</w:t>
            </w:r>
            <w:r>
              <w:rPr>
                <w:color w:val="auto"/>
                <w:spacing w:val="-5"/>
                <w:sz w:val="21"/>
                <w:szCs w:val="21"/>
                <w:highlight w:val="none"/>
              </w:rPr>
              <w:t>1日</w:t>
            </w:r>
            <w:r>
              <w:rPr>
                <w:rFonts w:hint="eastAsia"/>
                <w:color w:val="auto"/>
                <w:spacing w:val="-5"/>
                <w:sz w:val="21"/>
                <w:szCs w:val="21"/>
                <w:highlight w:val="none"/>
                <w:lang w:eastAsia="zh-CN"/>
              </w:rPr>
              <w:t>（</w:t>
            </w:r>
            <w:r>
              <w:rPr>
                <w:rFonts w:hint="eastAsia"/>
                <w:color w:val="auto"/>
                <w:spacing w:val="-5"/>
                <w:sz w:val="21"/>
                <w:szCs w:val="21"/>
                <w:highlight w:val="none"/>
                <w:lang w:val="en-US" w:eastAsia="zh-CN"/>
              </w:rPr>
              <w:t>以合同签订时间为准</w:t>
            </w:r>
            <w:r>
              <w:rPr>
                <w:rFonts w:hint="eastAsia"/>
                <w:color w:val="auto"/>
                <w:spacing w:val="-5"/>
                <w:sz w:val="21"/>
                <w:szCs w:val="21"/>
                <w:highlight w:val="none"/>
                <w:lang w:eastAsia="zh-CN"/>
              </w:rPr>
              <w:t>）</w:t>
            </w:r>
            <w:r>
              <w:rPr>
                <w:color w:val="auto"/>
                <w:spacing w:val="-5"/>
                <w:sz w:val="21"/>
                <w:szCs w:val="21"/>
                <w:highlight w:val="none"/>
              </w:rPr>
              <w:t>至今具有类似项目业绩，每有</w:t>
            </w:r>
            <w:r>
              <w:rPr>
                <w:color w:val="auto"/>
                <w:spacing w:val="-6"/>
                <w:sz w:val="21"/>
                <w:szCs w:val="21"/>
                <w:highlight w:val="none"/>
              </w:rPr>
              <w:t>一个得</w:t>
            </w:r>
            <w:r>
              <w:rPr>
                <w:rFonts w:hint="eastAsia"/>
                <w:color w:val="auto"/>
                <w:spacing w:val="-26"/>
                <w:sz w:val="21"/>
                <w:szCs w:val="21"/>
                <w:highlight w:val="none"/>
                <w:lang w:val="en-US" w:eastAsia="zh-CN"/>
              </w:rPr>
              <w:t>5</w:t>
            </w:r>
            <w:r>
              <w:rPr>
                <w:color w:val="auto"/>
                <w:spacing w:val="-6"/>
                <w:sz w:val="21"/>
                <w:szCs w:val="21"/>
                <w:highlight w:val="none"/>
              </w:rPr>
              <w:t>分，最高得</w:t>
            </w:r>
            <w:r>
              <w:rPr>
                <w:rFonts w:hint="eastAsia"/>
                <w:color w:val="auto"/>
                <w:spacing w:val="-6"/>
                <w:sz w:val="21"/>
                <w:szCs w:val="21"/>
                <w:highlight w:val="none"/>
                <w:lang w:val="en-US" w:eastAsia="zh-CN"/>
              </w:rPr>
              <w:t>15</w:t>
            </w:r>
            <w:r>
              <w:rPr>
                <w:color w:val="auto"/>
                <w:spacing w:val="-10"/>
                <w:sz w:val="21"/>
                <w:szCs w:val="21"/>
                <w:highlight w:val="none"/>
              </w:rPr>
              <w:t>分。</w:t>
            </w:r>
          </w:p>
          <w:p w14:paraId="2E02691D">
            <w:pPr>
              <w:pStyle w:val="239"/>
              <w:spacing w:before="114" w:line="274" w:lineRule="auto"/>
              <w:ind w:left="115" w:right="104"/>
              <w:rPr>
                <w:b/>
                <w:bCs/>
                <w:color w:val="auto"/>
                <w:spacing w:val="-4"/>
                <w:sz w:val="21"/>
                <w:szCs w:val="21"/>
                <w:highlight w:val="none"/>
              </w:rPr>
            </w:pPr>
            <w:r>
              <w:rPr>
                <w:rFonts w:hint="default" w:ascii="Times New Roman" w:hAnsi="Times New Roman" w:eastAsia="宋体" w:cs="Times New Roman"/>
                <w:b/>
                <w:bCs/>
                <w:color w:val="auto"/>
                <w:sz w:val="21"/>
                <w:szCs w:val="21"/>
                <w:highlight w:val="none"/>
              </w:rPr>
              <w:t>注：</w:t>
            </w:r>
            <w:r>
              <w:rPr>
                <w:b/>
                <w:bCs/>
                <w:color w:val="auto"/>
                <w:spacing w:val="-4"/>
                <w:sz w:val="21"/>
                <w:szCs w:val="21"/>
                <w:highlight w:val="none"/>
              </w:rPr>
              <w:t>投标文件中提供合同扫描件，时间、标的内容以合同为准，否则不得分。</w:t>
            </w:r>
          </w:p>
          <w:p w14:paraId="1A82E251">
            <w:pPr>
              <w:pStyle w:val="239"/>
              <w:spacing w:before="114" w:line="274" w:lineRule="auto"/>
              <w:ind w:left="115" w:right="104"/>
              <w:rPr>
                <w:color w:val="auto"/>
                <w:sz w:val="21"/>
                <w:szCs w:val="21"/>
                <w:highlight w:val="none"/>
              </w:rPr>
            </w:pPr>
            <w:r>
              <w:rPr>
                <w:rFonts w:hint="eastAsia"/>
                <w:color w:val="auto"/>
                <w:spacing w:val="-3"/>
                <w:sz w:val="21"/>
                <w:szCs w:val="21"/>
                <w:highlight w:val="none"/>
                <w:lang w:val="en-US" w:eastAsia="zh-CN"/>
              </w:rPr>
              <w:t>2、</w:t>
            </w:r>
            <w:r>
              <w:rPr>
                <w:color w:val="auto"/>
                <w:spacing w:val="-3"/>
                <w:sz w:val="21"/>
                <w:szCs w:val="21"/>
                <w:highlight w:val="none"/>
              </w:rPr>
              <w:t>上述业绩中，投标人提供由被服务单位出具的餐饮服务质量满意证明的且满意度超</w:t>
            </w:r>
            <w:r>
              <w:rPr>
                <w:color w:val="auto"/>
                <w:spacing w:val="-4"/>
                <w:sz w:val="21"/>
                <w:szCs w:val="21"/>
                <w:highlight w:val="none"/>
              </w:rPr>
              <w:t>过</w:t>
            </w:r>
            <w:r>
              <w:rPr>
                <w:color w:val="auto"/>
                <w:spacing w:val="-39"/>
                <w:sz w:val="21"/>
                <w:szCs w:val="21"/>
                <w:highlight w:val="none"/>
              </w:rPr>
              <w:t xml:space="preserve"> </w:t>
            </w:r>
            <w:r>
              <w:rPr>
                <w:color w:val="auto"/>
                <w:spacing w:val="-4"/>
                <w:sz w:val="21"/>
                <w:szCs w:val="21"/>
                <w:highlight w:val="none"/>
              </w:rPr>
              <w:t>85%的，每提供一个得</w:t>
            </w:r>
            <w:r>
              <w:rPr>
                <w:color w:val="auto"/>
                <w:spacing w:val="-41"/>
                <w:sz w:val="21"/>
                <w:szCs w:val="21"/>
                <w:highlight w:val="none"/>
              </w:rPr>
              <w:t xml:space="preserve"> </w:t>
            </w:r>
            <w:r>
              <w:rPr>
                <w:rFonts w:hint="eastAsia"/>
                <w:color w:val="auto"/>
                <w:spacing w:val="-4"/>
                <w:sz w:val="21"/>
                <w:szCs w:val="21"/>
                <w:highlight w:val="none"/>
                <w:lang w:val="en-US" w:eastAsia="zh-CN"/>
              </w:rPr>
              <w:t>3</w:t>
            </w:r>
            <w:r>
              <w:rPr>
                <w:color w:val="auto"/>
                <w:spacing w:val="-41"/>
                <w:sz w:val="21"/>
                <w:szCs w:val="21"/>
                <w:highlight w:val="none"/>
              </w:rPr>
              <w:t xml:space="preserve"> </w:t>
            </w:r>
            <w:r>
              <w:rPr>
                <w:color w:val="auto"/>
                <w:spacing w:val="-4"/>
                <w:sz w:val="21"/>
                <w:szCs w:val="21"/>
                <w:highlight w:val="none"/>
              </w:rPr>
              <w:t>分，最高得</w:t>
            </w:r>
            <w:r>
              <w:rPr>
                <w:color w:val="auto"/>
                <w:spacing w:val="-28"/>
                <w:sz w:val="21"/>
                <w:szCs w:val="21"/>
                <w:highlight w:val="none"/>
              </w:rPr>
              <w:t xml:space="preserve"> </w:t>
            </w:r>
            <w:r>
              <w:rPr>
                <w:rFonts w:hint="eastAsia"/>
                <w:color w:val="auto"/>
                <w:spacing w:val="-4"/>
                <w:sz w:val="21"/>
                <w:szCs w:val="21"/>
                <w:highlight w:val="none"/>
                <w:lang w:val="en-US" w:eastAsia="zh-CN"/>
              </w:rPr>
              <w:t>9</w:t>
            </w:r>
            <w:r>
              <w:rPr>
                <w:color w:val="auto"/>
                <w:spacing w:val="-4"/>
                <w:sz w:val="21"/>
                <w:szCs w:val="21"/>
                <w:highlight w:val="none"/>
              </w:rPr>
              <w:t>分。</w:t>
            </w:r>
          </w:p>
          <w:p w14:paraId="0268589B">
            <w:pPr>
              <w:pStyle w:val="239"/>
              <w:spacing w:before="1" w:line="249" w:lineRule="auto"/>
              <w:ind w:left="117" w:leftChars="0" w:right="108" w:rightChars="0"/>
              <w:rPr>
                <w:rFonts w:hint="default" w:ascii="宋体" w:hAnsi="宋体" w:eastAsia="宋体" w:cs="宋体"/>
                <w:color w:val="auto"/>
                <w:sz w:val="21"/>
                <w:szCs w:val="21"/>
                <w:highlight w:val="none"/>
                <w:lang w:val="en-US" w:eastAsia="en-US" w:bidi="ar-SA"/>
              </w:rPr>
            </w:pPr>
            <w:r>
              <w:rPr>
                <w:rFonts w:hint="default" w:ascii="Times New Roman" w:hAnsi="Times New Roman" w:eastAsia="宋体" w:cs="Times New Roman"/>
                <w:b/>
                <w:bCs/>
                <w:color w:val="auto"/>
                <w:sz w:val="21"/>
                <w:szCs w:val="21"/>
                <w:highlight w:val="none"/>
              </w:rPr>
              <w:t>注：</w:t>
            </w:r>
            <w:r>
              <w:rPr>
                <w:b/>
                <w:bCs/>
                <w:color w:val="auto"/>
                <w:sz w:val="21"/>
                <w:szCs w:val="21"/>
                <w:highlight w:val="none"/>
              </w:rPr>
              <w:t>投标文件中提供加盖被服务单位公章或被服务单位主管内设机构章的书面证明（证明内容须与合同相对应）扫描件，否则不得分。</w:t>
            </w:r>
          </w:p>
        </w:tc>
      </w:tr>
      <w:tr w14:paraId="5A569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670" w:type="dxa"/>
            <w:shd w:val="clear" w:color="auto" w:fill="auto"/>
            <w:vAlign w:val="center"/>
          </w:tcPr>
          <w:p w14:paraId="40ABD29F">
            <w:pPr>
              <w:pStyle w:val="239"/>
              <w:spacing w:before="69" w:line="221" w:lineRule="auto"/>
              <w:ind w:left="217"/>
              <w:jc w:val="center"/>
              <w:rPr>
                <w:rFonts w:hint="default"/>
                <w:color w:val="auto"/>
                <w:spacing w:val="-2"/>
                <w:sz w:val="21"/>
                <w:szCs w:val="21"/>
                <w:highlight w:val="none"/>
              </w:rPr>
            </w:pPr>
            <w:r>
              <w:rPr>
                <w:rFonts w:hint="default"/>
                <w:color w:val="auto"/>
                <w:spacing w:val="-2"/>
                <w:sz w:val="21"/>
                <w:szCs w:val="21"/>
                <w:highlight w:val="none"/>
              </w:rPr>
              <w:t>服务保障</w:t>
            </w:r>
          </w:p>
          <w:p w14:paraId="5ED88FD7">
            <w:pPr>
              <w:pStyle w:val="239"/>
              <w:spacing w:before="69" w:line="221" w:lineRule="auto"/>
              <w:ind w:left="217"/>
              <w:jc w:val="center"/>
              <w:rPr>
                <w:rFonts w:hint="default" w:eastAsia="宋体"/>
                <w:color w:val="auto"/>
                <w:spacing w:val="-5"/>
                <w:sz w:val="21"/>
                <w:szCs w:val="21"/>
                <w:highlight w:val="none"/>
                <w:lang w:val="en-US" w:eastAsia="zh-CN"/>
              </w:rPr>
            </w:pPr>
            <w:r>
              <w:rPr>
                <w:rFonts w:hint="eastAsia"/>
                <w:color w:val="auto"/>
                <w:spacing w:val="-2"/>
                <w:sz w:val="21"/>
                <w:szCs w:val="21"/>
                <w:highlight w:val="none"/>
                <w:lang w:eastAsia="zh-CN"/>
              </w:rPr>
              <w:t>（</w:t>
            </w:r>
            <w:r>
              <w:rPr>
                <w:rFonts w:hint="eastAsia"/>
                <w:color w:val="auto"/>
                <w:spacing w:val="-2"/>
                <w:sz w:val="21"/>
                <w:szCs w:val="21"/>
                <w:highlight w:val="none"/>
                <w:lang w:val="en-US" w:eastAsia="zh-CN"/>
              </w:rPr>
              <w:t>3分）</w:t>
            </w:r>
          </w:p>
        </w:tc>
        <w:tc>
          <w:tcPr>
            <w:tcW w:w="7684" w:type="dxa"/>
            <w:shd w:val="clear" w:color="auto" w:fill="auto"/>
            <w:vAlign w:val="center"/>
          </w:tcPr>
          <w:p w14:paraId="540DEE3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20" w:firstLineChars="200"/>
              <w:jc w:val="both"/>
              <w:rPr>
                <w:rFonts w:hint="eastAsia" w:cs="宋体"/>
                <w:color w:val="auto"/>
                <w:sz w:val="21"/>
                <w:szCs w:val="21"/>
                <w:highlight w:val="none"/>
                <w:lang w:eastAsia="zh-CN"/>
              </w:rPr>
            </w:pPr>
            <w:bookmarkStart w:id="184" w:name="_GoBack"/>
            <w:r>
              <w:rPr>
                <w:rFonts w:hint="eastAsia" w:cs="宋体"/>
                <w:color w:val="auto"/>
                <w:sz w:val="21"/>
                <w:szCs w:val="21"/>
                <w:highlight w:val="none"/>
                <w:lang w:val="en-US" w:eastAsia="zh-CN"/>
              </w:rPr>
              <w:t>投标人</w:t>
            </w:r>
            <w:r>
              <w:rPr>
                <w:rFonts w:hint="eastAsia" w:ascii="宋体" w:hAnsi="宋体" w:eastAsia="宋体" w:cs="宋体"/>
                <w:color w:val="auto"/>
                <w:sz w:val="21"/>
                <w:szCs w:val="21"/>
                <w:highlight w:val="none"/>
              </w:rPr>
              <w:t>承诺中标后购买“食品安全责任险”的得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cs="宋体"/>
                <w:color w:val="auto"/>
                <w:sz w:val="21"/>
                <w:szCs w:val="21"/>
                <w:highlight w:val="none"/>
                <w:lang w:eastAsia="zh-CN"/>
              </w:rPr>
              <w:t>。</w:t>
            </w:r>
          </w:p>
          <w:p w14:paraId="33D1779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22" w:firstLineChars="200"/>
              <w:jc w:val="both"/>
              <w:rPr>
                <w:rFonts w:hint="default" w:ascii="Times New Roman" w:hAnsi="Times New Roman" w:eastAsia="宋体" w:cs="Times New Roman"/>
                <w:b/>
                <w:bCs/>
                <w:color w:val="auto"/>
                <w:sz w:val="21"/>
                <w:szCs w:val="21"/>
                <w:highlight w:val="none"/>
              </w:rPr>
            </w:pPr>
            <w:r>
              <w:rPr>
                <w:rFonts w:hint="eastAsia" w:ascii="宋体" w:hAnsi="宋体" w:eastAsia="宋体" w:cs="宋体"/>
                <w:b/>
                <w:bCs/>
                <w:color w:val="auto"/>
                <w:sz w:val="21"/>
                <w:szCs w:val="21"/>
                <w:highlight w:val="none"/>
                <w:lang w:val="en-US" w:eastAsia="zh-CN" w:bidi="ar-SA"/>
              </w:rPr>
              <w:t>注：投标人</w:t>
            </w:r>
            <w:r>
              <w:rPr>
                <w:rFonts w:hint="eastAsia" w:ascii="宋体" w:hAnsi="宋体" w:eastAsia="宋体" w:cs="宋体"/>
                <w:b/>
                <w:bCs/>
                <w:color w:val="auto"/>
                <w:sz w:val="21"/>
                <w:szCs w:val="21"/>
                <w:highlight w:val="none"/>
                <w:lang w:val="en-US" w:eastAsia="en-US" w:bidi="ar-SA"/>
              </w:rPr>
              <w:t>提供承诺函加投标</w:t>
            </w:r>
            <w:r>
              <w:rPr>
                <w:rFonts w:hint="eastAsia" w:ascii="宋体" w:hAnsi="宋体" w:eastAsia="宋体" w:cs="宋体"/>
                <w:b/>
                <w:bCs/>
                <w:color w:val="auto"/>
                <w:sz w:val="21"/>
                <w:szCs w:val="21"/>
                <w:highlight w:val="none"/>
                <w:lang w:val="en-US" w:eastAsia="zh-CN" w:bidi="ar-SA"/>
              </w:rPr>
              <w:t>人</w:t>
            </w:r>
            <w:r>
              <w:rPr>
                <w:rFonts w:hint="eastAsia" w:ascii="宋体" w:hAnsi="宋体" w:eastAsia="宋体" w:cs="宋体"/>
                <w:b/>
                <w:bCs/>
                <w:color w:val="auto"/>
                <w:sz w:val="21"/>
                <w:szCs w:val="21"/>
                <w:highlight w:val="none"/>
                <w:lang w:val="en-US" w:eastAsia="en-US" w:bidi="ar-SA"/>
              </w:rPr>
              <w:t>公章</w:t>
            </w:r>
            <w:r>
              <w:rPr>
                <w:rFonts w:hint="eastAsia" w:cs="宋体"/>
                <w:b/>
                <w:bCs/>
                <w:color w:val="auto"/>
                <w:sz w:val="21"/>
                <w:szCs w:val="21"/>
                <w:highlight w:val="none"/>
                <w:lang w:val="en-US" w:eastAsia="zh-CN" w:bidi="ar-SA"/>
              </w:rPr>
              <w:t>的原件扫描件</w:t>
            </w:r>
            <w:r>
              <w:rPr>
                <w:rFonts w:hint="eastAsia" w:ascii="宋体" w:hAnsi="宋体" w:eastAsia="宋体" w:cs="宋体"/>
                <w:b/>
                <w:bCs/>
                <w:color w:val="auto"/>
                <w:sz w:val="21"/>
                <w:szCs w:val="21"/>
                <w:highlight w:val="none"/>
                <w:lang w:val="en-US" w:eastAsia="en-US" w:bidi="ar-SA"/>
              </w:rPr>
              <w:t>。</w:t>
            </w:r>
            <w:bookmarkEnd w:id="184"/>
          </w:p>
        </w:tc>
      </w:tr>
      <w:tr w14:paraId="52866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3" w:hRule="atLeast"/>
        </w:trPr>
        <w:tc>
          <w:tcPr>
            <w:tcW w:w="1670" w:type="dxa"/>
            <w:tcBorders>
              <w:bottom w:val="nil"/>
            </w:tcBorders>
            <w:vAlign w:val="top"/>
          </w:tcPr>
          <w:p w14:paraId="0E1105B8">
            <w:pPr>
              <w:spacing w:line="253" w:lineRule="auto"/>
              <w:rPr>
                <w:rFonts w:ascii="Arial"/>
                <w:color w:val="auto"/>
                <w:sz w:val="21"/>
                <w:highlight w:val="none"/>
              </w:rPr>
            </w:pPr>
          </w:p>
          <w:p w14:paraId="20820F1E">
            <w:pPr>
              <w:spacing w:line="253" w:lineRule="auto"/>
              <w:rPr>
                <w:rFonts w:ascii="Arial"/>
                <w:color w:val="auto"/>
                <w:sz w:val="21"/>
                <w:highlight w:val="none"/>
              </w:rPr>
            </w:pPr>
          </w:p>
          <w:p w14:paraId="066182F0">
            <w:pPr>
              <w:spacing w:line="254" w:lineRule="auto"/>
              <w:rPr>
                <w:rFonts w:ascii="Arial"/>
                <w:color w:val="auto"/>
                <w:sz w:val="21"/>
                <w:highlight w:val="none"/>
              </w:rPr>
            </w:pPr>
          </w:p>
          <w:p w14:paraId="3EBB4BA9">
            <w:pPr>
              <w:pStyle w:val="239"/>
              <w:spacing w:before="69" w:line="221" w:lineRule="auto"/>
              <w:ind w:left="216"/>
              <w:rPr>
                <w:color w:val="auto"/>
                <w:sz w:val="21"/>
                <w:szCs w:val="21"/>
                <w:highlight w:val="none"/>
              </w:rPr>
            </w:pPr>
            <w:r>
              <w:rPr>
                <w:color w:val="auto"/>
                <w:sz w:val="21"/>
                <w:szCs w:val="21"/>
                <w:highlight w:val="none"/>
              </w:rPr>
              <w:t>整体服务方案</w:t>
            </w:r>
          </w:p>
          <w:p w14:paraId="331DB6C6">
            <w:pPr>
              <w:pStyle w:val="239"/>
              <w:spacing w:before="61" w:line="221" w:lineRule="auto"/>
              <w:ind w:left="403"/>
              <w:rPr>
                <w:color w:val="auto"/>
                <w:sz w:val="21"/>
                <w:szCs w:val="21"/>
                <w:highlight w:val="none"/>
              </w:rPr>
            </w:pPr>
            <w:r>
              <w:rPr>
                <w:color w:val="auto"/>
                <w:spacing w:val="-5"/>
                <w:sz w:val="21"/>
                <w:szCs w:val="21"/>
                <w:highlight w:val="none"/>
              </w:rPr>
              <w:t>（</w:t>
            </w:r>
            <w:r>
              <w:rPr>
                <w:rFonts w:hint="eastAsia"/>
                <w:color w:val="auto"/>
                <w:spacing w:val="-5"/>
                <w:sz w:val="21"/>
                <w:szCs w:val="21"/>
                <w:highlight w:val="none"/>
                <w:lang w:val="en-US" w:eastAsia="zh-CN"/>
              </w:rPr>
              <w:t>8</w:t>
            </w:r>
            <w:r>
              <w:rPr>
                <w:color w:val="auto"/>
                <w:spacing w:val="-5"/>
                <w:sz w:val="21"/>
                <w:szCs w:val="21"/>
                <w:highlight w:val="none"/>
              </w:rPr>
              <w:t>分）</w:t>
            </w:r>
          </w:p>
        </w:tc>
        <w:tc>
          <w:tcPr>
            <w:tcW w:w="7684" w:type="dxa"/>
            <w:shd w:val="clear" w:color="auto" w:fill="auto"/>
            <w:vAlign w:val="top"/>
          </w:tcPr>
          <w:p w14:paraId="0B580E38">
            <w:pPr>
              <w:spacing w:line="276" w:lineRule="auto"/>
              <w:rPr>
                <w:rFonts w:ascii="宋体" w:hAnsi="宋体"/>
                <w:color w:val="auto"/>
                <w:sz w:val="21"/>
                <w:szCs w:val="21"/>
                <w:highlight w:val="none"/>
              </w:rPr>
            </w:pPr>
            <w:r>
              <w:rPr>
                <w:rFonts w:ascii="宋体" w:hAnsi="宋体"/>
                <w:color w:val="auto"/>
                <w:sz w:val="21"/>
                <w:szCs w:val="21"/>
                <w:highlight w:val="none"/>
              </w:rPr>
              <w:t>投标人针对本项目餐饮服务结合项目需求提供整体服务方</w:t>
            </w:r>
            <w:r>
              <w:rPr>
                <w:rFonts w:hint="eastAsia" w:ascii="宋体" w:hAnsi="宋体"/>
                <w:color w:val="auto"/>
                <w:sz w:val="21"/>
                <w:szCs w:val="21"/>
                <w:highlight w:val="none"/>
              </w:rPr>
              <w:t>案</w:t>
            </w:r>
            <w:r>
              <w:rPr>
                <w:rFonts w:ascii="宋体" w:hAnsi="宋体"/>
                <w:color w:val="auto"/>
                <w:sz w:val="21"/>
                <w:szCs w:val="21"/>
                <w:highlight w:val="none"/>
              </w:rPr>
              <w:t>，</w:t>
            </w:r>
            <w:r>
              <w:rPr>
                <w:rFonts w:hint="eastAsia" w:ascii="宋体" w:hAnsi="宋体"/>
                <w:color w:val="auto"/>
                <w:sz w:val="21"/>
                <w:szCs w:val="21"/>
                <w:highlight w:val="none"/>
              </w:rPr>
              <w:t>内容</w:t>
            </w:r>
            <w:r>
              <w:rPr>
                <w:rFonts w:ascii="宋体" w:hAnsi="宋体"/>
                <w:color w:val="auto"/>
                <w:sz w:val="21"/>
                <w:szCs w:val="21"/>
                <w:highlight w:val="none"/>
              </w:rPr>
              <w:t>包含但不限于餐饮服务总体设想、服务于本项目的重点、难点、新颖思路等。</w:t>
            </w:r>
          </w:p>
          <w:p w14:paraId="679BF33E">
            <w:pPr>
              <w:rPr>
                <w:rFonts w:hint="eastAsia" w:ascii="宋体" w:hAnsi="宋体"/>
                <w:color w:val="auto"/>
                <w:sz w:val="21"/>
                <w:szCs w:val="21"/>
                <w:highlight w:val="none"/>
              </w:rPr>
            </w:pPr>
            <w:r>
              <w:rPr>
                <w:rFonts w:hint="eastAsia" w:ascii="宋体" w:hAnsi="宋体"/>
                <w:color w:val="auto"/>
                <w:sz w:val="21"/>
                <w:szCs w:val="21"/>
                <w:highlight w:val="none"/>
              </w:rPr>
              <w:t>方案内容全面，</w:t>
            </w:r>
            <w:r>
              <w:rPr>
                <w:rFonts w:ascii="宋体" w:hAnsi="宋体"/>
                <w:color w:val="auto"/>
                <w:sz w:val="21"/>
                <w:szCs w:val="21"/>
                <w:highlight w:val="none"/>
              </w:rPr>
              <w:t>餐饮服务总体设想</w:t>
            </w:r>
            <w:r>
              <w:rPr>
                <w:rFonts w:hint="eastAsia" w:ascii="宋体" w:hAnsi="宋体"/>
                <w:color w:val="auto"/>
                <w:sz w:val="21"/>
                <w:szCs w:val="21"/>
                <w:highlight w:val="none"/>
              </w:rPr>
              <w:t>逻辑清晰，重点、难点分析准确、与项目特点相适应的</w:t>
            </w:r>
            <w:r>
              <w:rPr>
                <w:rFonts w:hint="eastAsia" w:ascii="宋体" w:hAnsi="宋体"/>
                <w:b/>
                <w:color w:val="auto"/>
                <w:sz w:val="21"/>
                <w:szCs w:val="21"/>
                <w:highlight w:val="none"/>
              </w:rPr>
              <w:t>得</w:t>
            </w:r>
            <w:r>
              <w:rPr>
                <w:rFonts w:hint="eastAsia" w:ascii="宋体" w:hAnsi="宋体"/>
                <w:b/>
                <w:color w:val="auto"/>
                <w:sz w:val="21"/>
                <w:szCs w:val="21"/>
                <w:highlight w:val="none"/>
                <w:lang w:val="en-US" w:eastAsia="zh-CN"/>
              </w:rPr>
              <w:t>8</w:t>
            </w:r>
            <w:r>
              <w:rPr>
                <w:rFonts w:hint="eastAsia" w:ascii="宋体" w:hAnsi="宋体"/>
                <w:b/>
                <w:color w:val="auto"/>
                <w:sz w:val="21"/>
                <w:szCs w:val="21"/>
                <w:highlight w:val="none"/>
              </w:rPr>
              <w:t>分</w:t>
            </w:r>
            <w:r>
              <w:rPr>
                <w:rFonts w:hint="eastAsia" w:ascii="宋体" w:hAnsi="宋体"/>
                <w:color w:val="auto"/>
                <w:sz w:val="21"/>
                <w:szCs w:val="21"/>
                <w:highlight w:val="none"/>
              </w:rPr>
              <w:t>。</w:t>
            </w:r>
          </w:p>
          <w:p w14:paraId="51B33A87">
            <w:pPr>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方案内容较全面，</w:t>
            </w:r>
            <w:r>
              <w:rPr>
                <w:rFonts w:ascii="宋体" w:hAnsi="宋体"/>
                <w:color w:val="auto"/>
                <w:sz w:val="21"/>
                <w:szCs w:val="21"/>
                <w:highlight w:val="none"/>
              </w:rPr>
              <w:t>餐饮服务总体设想</w:t>
            </w:r>
            <w:r>
              <w:rPr>
                <w:rFonts w:hint="eastAsia" w:ascii="宋体" w:hAnsi="宋体"/>
                <w:color w:val="auto"/>
                <w:sz w:val="21"/>
                <w:szCs w:val="21"/>
                <w:highlight w:val="none"/>
              </w:rPr>
              <w:t>逻辑较清晰，重点、难点分析较准确、较贴切项目特点的</w:t>
            </w:r>
            <w:r>
              <w:rPr>
                <w:rFonts w:hint="eastAsia" w:ascii="宋体" w:hAnsi="宋体"/>
                <w:b/>
                <w:color w:val="auto"/>
                <w:sz w:val="21"/>
                <w:szCs w:val="21"/>
                <w:highlight w:val="none"/>
              </w:rPr>
              <w:t>得</w:t>
            </w:r>
            <w:r>
              <w:rPr>
                <w:rFonts w:hint="eastAsia" w:ascii="宋体" w:hAnsi="宋体"/>
                <w:b/>
                <w:color w:val="auto"/>
                <w:sz w:val="21"/>
                <w:szCs w:val="21"/>
                <w:highlight w:val="none"/>
                <w:lang w:val="en-US" w:eastAsia="zh-CN"/>
              </w:rPr>
              <w:t>5</w:t>
            </w:r>
            <w:r>
              <w:rPr>
                <w:rFonts w:hint="eastAsia" w:ascii="宋体" w:hAnsi="宋体"/>
                <w:b/>
                <w:color w:val="auto"/>
                <w:sz w:val="21"/>
                <w:szCs w:val="21"/>
                <w:highlight w:val="none"/>
              </w:rPr>
              <w:t>分</w:t>
            </w:r>
            <w:r>
              <w:rPr>
                <w:rFonts w:hint="eastAsia" w:ascii="宋体" w:hAnsi="宋体"/>
                <w:color w:val="auto"/>
                <w:sz w:val="21"/>
                <w:szCs w:val="21"/>
                <w:highlight w:val="none"/>
              </w:rPr>
              <w:t>。</w:t>
            </w:r>
          </w:p>
          <w:p w14:paraId="62B095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cs="宋体"/>
                <w:b/>
                <w:bCs/>
                <w:color w:val="auto"/>
                <w:sz w:val="21"/>
                <w:szCs w:val="21"/>
                <w:highlight w:val="none"/>
              </w:rPr>
            </w:pPr>
            <w:r>
              <w:rPr>
                <w:rFonts w:hint="eastAsia" w:ascii="宋体" w:hAnsi="宋体" w:cs="宋体"/>
                <w:color w:val="auto"/>
                <w:sz w:val="21"/>
                <w:szCs w:val="21"/>
                <w:highlight w:val="none"/>
              </w:rPr>
              <w:t>上述方案内容有缺项，内容不详细，</w:t>
            </w:r>
            <w:r>
              <w:rPr>
                <w:rFonts w:hint="eastAsia" w:ascii="宋体" w:hAnsi="宋体"/>
                <w:color w:val="auto"/>
                <w:sz w:val="21"/>
                <w:szCs w:val="21"/>
                <w:highlight w:val="none"/>
              </w:rPr>
              <w:t>总体设想</w:t>
            </w:r>
            <w:r>
              <w:rPr>
                <w:rFonts w:hint="eastAsia" w:ascii="宋体" w:hAnsi="宋体" w:cs="宋体"/>
                <w:color w:val="auto"/>
                <w:sz w:val="21"/>
                <w:szCs w:val="21"/>
                <w:highlight w:val="none"/>
              </w:rPr>
              <w:t>逻辑不够清晰，重点、难点分析不够准确，与项目特点为相符的</w:t>
            </w:r>
            <w:r>
              <w:rPr>
                <w:rFonts w:hint="eastAsia" w:ascii="宋体" w:hAnsi="宋体" w:cs="宋体"/>
                <w:b/>
                <w:bCs/>
                <w:color w:val="auto"/>
                <w:sz w:val="21"/>
                <w:szCs w:val="21"/>
                <w:highlight w:val="none"/>
              </w:rPr>
              <w:t>得</w:t>
            </w:r>
            <w:r>
              <w:rPr>
                <w:rFonts w:hint="eastAsia" w:ascii="宋体" w:hAnsi="宋体" w:cs="宋体"/>
                <w:b/>
                <w:bCs/>
                <w:color w:val="auto"/>
                <w:sz w:val="21"/>
                <w:szCs w:val="21"/>
                <w:highlight w:val="none"/>
                <w:lang w:val="en-US" w:eastAsia="zh-CN"/>
              </w:rPr>
              <w:t>3</w:t>
            </w:r>
            <w:r>
              <w:rPr>
                <w:rFonts w:hint="eastAsia" w:ascii="宋体" w:hAnsi="宋体" w:cs="宋体"/>
                <w:b/>
                <w:bCs/>
                <w:color w:val="auto"/>
                <w:sz w:val="21"/>
                <w:szCs w:val="21"/>
                <w:highlight w:val="none"/>
              </w:rPr>
              <w:t>分。</w:t>
            </w:r>
          </w:p>
          <w:p w14:paraId="2149E2D7">
            <w:pPr>
              <w:pStyle w:val="239"/>
              <w:spacing w:line="219" w:lineRule="auto"/>
              <w:ind w:left="118" w:leftChars="0"/>
              <w:rPr>
                <w:rFonts w:hint="default" w:ascii="宋体" w:hAnsi="宋体" w:eastAsia="宋体" w:cs="宋体"/>
                <w:color w:val="auto"/>
                <w:sz w:val="21"/>
                <w:szCs w:val="21"/>
                <w:highlight w:val="none"/>
                <w:lang w:val="en-US" w:eastAsia="en-US" w:bidi="ar-SA"/>
              </w:rPr>
            </w:pPr>
            <w:r>
              <w:rPr>
                <w:b/>
                <w:bCs/>
                <w:color w:val="auto"/>
                <w:spacing w:val="-3"/>
                <w:sz w:val="21"/>
                <w:szCs w:val="21"/>
                <w:highlight w:val="none"/>
              </w:rPr>
              <w:t>未提供不得分</w:t>
            </w:r>
            <w:r>
              <w:rPr>
                <w:color w:val="auto"/>
                <w:spacing w:val="-3"/>
                <w:sz w:val="21"/>
                <w:szCs w:val="21"/>
                <w:highlight w:val="none"/>
              </w:rPr>
              <w:t>。</w:t>
            </w:r>
          </w:p>
        </w:tc>
      </w:tr>
      <w:tr w14:paraId="79713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1670" w:type="dxa"/>
            <w:vAlign w:val="top"/>
          </w:tcPr>
          <w:p w14:paraId="5100AFDB">
            <w:pPr>
              <w:spacing w:line="452" w:lineRule="auto"/>
              <w:rPr>
                <w:rFonts w:ascii="Arial"/>
                <w:color w:val="auto"/>
                <w:sz w:val="21"/>
                <w:highlight w:val="none"/>
              </w:rPr>
            </w:pPr>
          </w:p>
          <w:p w14:paraId="28A2CEF3">
            <w:pPr>
              <w:pStyle w:val="239"/>
              <w:spacing w:before="69" w:line="274" w:lineRule="auto"/>
              <w:ind w:left="736" w:right="196" w:hanging="522"/>
              <w:rPr>
                <w:color w:val="auto"/>
                <w:sz w:val="21"/>
                <w:szCs w:val="21"/>
                <w:highlight w:val="none"/>
              </w:rPr>
            </w:pPr>
            <w:r>
              <w:rPr>
                <w:color w:val="auto"/>
                <w:spacing w:val="-1"/>
                <w:sz w:val="21"/>
                <w:szCs w:val="21"/>
                <w:highlight w:val="none"/>
              </w:rPr>
              <w:t>应急预案及措</w:t>
            </w:r>
            <w:r>
              <w:rPr>
                <w:color w:val="auto"/>
                <w:sz w:val="21"/>
                <w:szCs w:val="21"/>
                <w:highlight w:val="none"/>
              </w:rPr>
              <w:t>施</w:t>
            </w:r>
          </w:p>
          <w:p w14:paraId="57EB3AC3">
            <w:pPr>
              <w:pStyle w:val="239"/>
              <w:spacing w:line="221" w:lineRule="auto"/>
              <w:ind w:left="456"/>
              <w:rPr>
                <w:color w:val="auto"/>
                <w:sz w:val="21"/>
                <w:szCs w:val="21"/>
                <w:highlight w:val="none"/>
              </w:rPr>
            </w:pPr>
            <w:r>
              <w:rPr>
                <w:color w:val="auto"/>
                <w:spacing w:val="-6"/>
                <w:sz w:val="21"/>
                <w:szCs w:val="21"/>
                <w:highlight w:val="none"/>
              </w:rPr>
              <w:t>（</w:t>
            </w:r>
            <w:r>
              <w:rPr>
                <w:rFonts w:hint="eastAsia"/>
                <w:color w:val="auto"/>
                <w:spacing w:val="-6"/>
                <w:sz w:val="21"/>
                <w:szCs w:val="21"/>
                <w:highlight w:val="none"/>
                <w:lang w:val="en-US" w:eastAsia="zh-CN"/>
              </w:rPr>
              <w:t>8</w:t>
            </w:r>
            <w:r>
              <w:rPr>
                <w:color w:val="auto"/>
                <w:spacing w:val="-6"/>
                <w:sz w:val="21"/>
                <w:szCs w:val="21"/>
                <w:highlight w:val="none"/>
              </w:rPr>
              <w:t>分）</w:t>
            </w:r>
          </w:p>
        </w:tc>
        <w:tc>
          <w:tcPr>
            <w:tcW w:w="7684" w:type="dxa"/>
            <w:vAlign w:val="top"/>
          </w:tcPr>
          <w:p w14:paraId="7DF53D66">
            <w:pPr>
              <w:pStyle w:val="239"/>
              <w:spacing w:before="58" w:line="274" w:lineRule="auto"/>
              <w:ind w:left="117" w:right="38"/>
              <w:rPr>
                <w:color w:val="auto"/>
                <w:sz w:val="21"/>
                <w:szCs w:val="21"/>
                <w:highlight w:val="none"/>
              </w:rPr>
            </w:pPr>
            <w:r>
              <w:rPr>
                <w:color w:val="auto"/>
                <w:spacing w:val="-1"/>
                <w:sz w:val="21"/>
                <w:szCs w:val="21"/>
                <w:highlight w:val="none"/>
              </w:rPr>
              <w:t>投标人对本项目的各种突发事件制定应急处理预案，需包括食品中毒、消防事</w:t>
            </w:r>
            <w:r>
              <w:rPr>
                <w:color w:val="auto"/>
                <w:spacing w:val="-2"/>
                <w:sz w:val="21"/>
                <w:szCs w:val="21"/>
                <w:highlight w:val="none"/>
              </w:rPr>
              <w:t>故、</w:t>
            </w:r>
            <w:r>
              <w:rPr>
                <w:color w:val="auto"/>
                <w:spacing w:val="-3"/>
                <w:sz w:val="21"/>
                <w:szCs w:val="21"/>
                <w:highlight w:val="none"/>
              </w:rPr>
              <w:t>投诉管理等方面预案及措施。</w:t>
            </w:r>
          </w:p>
          <w:p w14:paraId="51909746">
            <w:pPr>
              <w:pStyle w:val="239"/>
              <w:spacing w:line="220" w:lineRule="auto"/>
              <w:ind w:left="114"/>
              <w:rPr>
                <w:color w:val="auto"/>
                <w:sz w:val="21"/>
                <w:szCs w:val="21"/>
                <w:highlight w:val="none"/>
              </w:rPr>
            </w:pPr>
            <w:r>
              <w:rPr>
                <w:color w:val="auto"/>
                <w:spacing w:val="-1"/>
                <w:sz w:val="21"/>
                <w:szCs w:val="21"/>
                <w:highlight w:val="none"/>
              </w:rPr>
              <w:t>方案制定详细、对紧急状况化解针对性、可实施性强</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8</w:t>
            </w:r>
            <w:r>
              <w:rPr>
                <w:b/>
                <w:bCs/>
                <w:color w:val="auto"/>
                <w:spacing w:val="-1"/>
                <w:sz w:val="21"/>
                <w:szCs w:val="21"/>
                <w:highlight w:val="none"/>
              </w:rPr>
              <w:t>分</w:t>
            </w:r>
            <w:r>
              <w:rPr>
                <w:color w:val="auto"/>
                <w:spacing w:val="-1"/>
                <w:sz w:val="21"/>
                <w:szCs w:val="21"/>
                <w:highlight w:val="none"/>
              </w:rPr>
              <w:t>；</w:t>
            </w:r>
          </w:p>
          <w:p w14:paraId="722E3DDD">
            <w:pPr>
              <w:pStyle w:val="239"/>
              <w:spacing w:before="60" w:line="275" w:lineRule="auto"/>
              <w:ind w:left="134" w:right="736" w:firstLine="13"/>
              <w:rPr>
                <w:color w:val="auto"/>
                <w:spacing w:val="-4"/>
                <w:sz w:val="21"/>
                <w:szCs w:val="21"/>
                <w:highlight w:val="none"/>
              </w:rPr>
            </w:pPr>
            <w:r>
              <w:rPr>
                <w:color w:val="auto"/>
                <w:spacing w:val="-3"/>
                <w:sz w:val="21"/>
                <w:szCs w:val="21"/>
                <w:highlight w:val="none"/>
              </w:rPr>
              <w:t>方案制定较为详细、对紧急状况化解针对性、可实施性较强</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5</w:t>
            </w:r>
            <w:r>
              <w:rPr>
                <w:rFonts w:hint="eastAsia" w:ascii="宋体" w:hAnsi="宋体" w:cs="宋体"/>
                <w:b/>
                <w:bCs/>
                <w:color w:val="auto"/>
                <w:sz w:val="21"/>
                <w:szCs w:val="21"/>
                <w:highlight w:val="none"/>
              </w:rPr>
              <w:t>分</w:t>
            </w:r>
            <w:r>
              <w:rPr>
                <w:color w:val="auto"/>
                <w:spacing w:val="-4"/>
                <w:sz w:val="21"/>
                <w:szCs w:val="21"/>
                <w:highlight w:val="none"/>
              </w:rPr>
              <w:t>；</w:t>
            </w:r>
          </w:p>
          <w:p w14:paraId="052F4D31">
            <w:pPr>
              <w:pStyle w:val="239"/>
              <w:spacing w:before="60" w:line="275" w:lineRule="auto"/>
              <w:ind w:left="134" w:right="736" w:firstLine="13"/>
              <w:rPr>
                <w:color w:val="auto"/>
                <w:sz w:val="21"/>
                <w:szCs w:val="21"/>
                <w:highlight w:val="none"/>
              </w:rPr>
            </w:pPr>
            <w:r>
              <w:rPr>
                <w:color w:val="auto"/>
                <w:spacing w:val="-2"/>
                <w:sz w:val="21"/>
                <w:szCs w:val="21"/>
                <w:highlight w:val="none"/>
              </w:rPr>
              <w:t>方案制定简略，对紧急状况化解针对性、可实施性一般</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3</w:t>
            </w:r>
            <w:r>
              <w:rPr>
                <w:rFonts w:hint="eastAsia" w:ascii="宋体" w:hAnsi="宋体" w:cs="宋体"/>
                <w:b/>
                <w:bCs/>
                <w:color w:val="auto"/>
                <w:sz w:val="21"/>
                <w:szCs w:val="21"/>
                <w:highlight w:val="none"/>
              </w:rPr>
              <w:t>分</w:t>
            </w:r>
            <w:r>
              <w:rPr>
                <w:color w:val="auto"/>
                <w:spacing w:val="-2"/>
                <w:sz w:val="21"/>
                <w:szCs w:val="21"/>
                <w:highlight w:val="none"/>
              </w:rPr>
              <w:t>。</w:t>
            </w:r>
          </w:p>
          <w:p w14:paraId="320F1CA3">
            <w:pPr>
              <w:pStyle w:val="239"/>
              <w:spacing w:line="219" w:lineRule="auto"/>
              <w:ind w:left="118"/>
              <w:rPr>
                <w:color w:val="auto"/>
                <w:sz w:val="21"/>
                <w:szCs w:val="21"/>
                <w:highlight w:val="none"/>
              </w:rPr>
            </w:pPr>
            <w:r>
              <w:rPr>
                <w:b/>
                <w:bCs/>
                <w:color w:val="auto"/>
                <w:spacing w:val="-7"/>
                <w:sz w:val="21"/>
                <w:szCs w:val="21"/>
                <w:highlight w:val="none"/>
              </w:rPr>
              <w:t>未提供不得分。</w:t>
            </w:r>
          </w:p>
        </w:tc>
      </w:tr>
      <w:tr w14:paraId="6F387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1670" w:type="dxa"/>
            <w:vAlign w:val="top"/>
          </w:tcPr>
          <w:p w14:paraId="10FA1538">
            <w:pPr>
              <w:spacing w:line="303" w:lineRule="auto"/>
              <w:rPr>
                <w:rFonts w:ascii="Arial"/>
                <w:color w:val="auto"/>
                <w:sz w:val="21"/>
                <w:highlight w:val="none"/>
              </w:rPr>
            </w:pPr>
          </w:p>
          <w:p w14:paraId="73830A8A">
            <w:pPr>
              <w:spacing w:line="303" w:lineRule="auto"/>
              <w:rPr>
                <w:rFonts w:ascii="Arial"/>
                <w:color w:val="auto"/>
                <w:sz w:val="21"/>
                <w:highlight w:val="none"/>
              </w:rPr>
            </w:pPr>
          </w:p>
          <w:p w14:paraId="3BE7ED42">
            <w:pPr>
              <w:pStyle w:val="239"/>
              <w:spacing w:before="68" w:line="221" w:lineRule="auto"/>
              <w:ind w:left="214"/>
              <w:rPr>
                <w:color w:val="auto"/>
                <w:sz w:val="21"/>
                <w:szCs w:val="21"/>
                <w:highlight w:val="none"/>
              </w:rPr>
            </w:pPr>
            <w:r>
              <w:rPr>
                <w:color w:val="auto"/>
                <w:spacing w:val="-1"/>
                <w:sz w:val="21"/>
                <w:szCs w:val="21"/>
                <w:highlight w:val="none"/>
              </w:rPr>
              <w:t>节能减排措施</w:t>
            </w:r>
          </w:p>
          <w:p w14:paraId="1F65492F">
            <w:pPr>
              <w:pStyle w:val="239"/>
              <w:spacing w:before="60" w:line="221" w:lineRule="auto"/>
              <w:ind w:left="485"/>
              <w:rPr>
                <w:color w:val="auto"/>
                <w:sz w:val="21"/>
                <w:szCs w:val="21"/>
                <w:highlight w:val="none"/>
              </w:rPr>
            </w:pPr>
            <w:r>
              <w:rPr>
                <w:color w:val="auto"/>
                <w:spacing w:val="-5"/>
                <w:sz w:val="21"/>
                <w:szCs w:val="21"/>
                <w:highlight w:val="none"/>
              </w:rPr>
              <w:t>（</w:t>
            </w:r>
            <w:r>
              <w:rPr>
                <w:rFonts w:hint="eastAsia"/>
                <w:color w:val="auto"/>
                <w:spacing w:val="-5"/>
                <w:sz w:val="21"/>
                <w:szCs w:val="21"/>
                <w:highlight w:val="none"/>
                <w:lang w:val="en-US" w:eastAsia="zh-CN"/>
              </w:rPr>
              <w:t>8</w:t>
            </w:r>
            <w:r>
              <w:rPr>
                <w:color w:val="auto"/>
                <w:spacing w:val="-5"/>
                <w:sz w:val="21"/>
                <w:szCs w:val="21"/>
                <w:highlight w:val="none"/>
              </w:rPr>
              <w:t>分）</w:t>
            </w:r>
          </w:p>
        </w:tc>
        <w:tc>
          <w:tcPr>
            <w:tcW w:w="7684" w:type="dxa"/>
            <w:vAlign w:val="top"/>
          </w:tcPr>
          <w:p w14:paraId="4555DD03">
            <w:pPr>
              <w:pStyle w:val="239"/>
              <w:spacing w:before="54" w:line="274" w:lineRule="auto"/>
              <w:ind w:left="115" w:right="44" w:firstLine="1"/>
              <w:rPr>
                <w:color w:val="auto"/>
                <w:sz w:val="21"/>
                <w:szCs w:val="21"/>
                <w:highlight w:val="none"/>
              </w:rPr>
            </w:pPr>
            <w:r>
              <w:rPr>
                <w:color w:val="auto"/>
                <w:spacing w:val="-7"/>
                <w:sz w:val="21"/>
                <w:szCs w:val="21"/>
                <w:highlight w:val="none"/>
              </w:rPr>
              <w:t>投标人针对本项目提供节能减排的保障措施。内容须包含但不限于节约水电、燃气，</w:t>
            </w:r>
            <w:r>
              <w:rPr>
                <w:color w:val="auto"/>
                <w:spacing w:val="-1"/>
                <w:sz w:val="21"/>
                <w:szCs w:val="21"/>
                <w:highlight w:val="none"/>
              </w:rPr>
              <w:t>合理控制采购量、烹饪出品量相关厉行节约、反对浪费内</w:t>
            </w:r>
            <w:r>
              <w:rPr>
                <w:color w:val="auto"/>
                <w:spacing w:val="-2"/>
                <w:sz w:val="21"/>
                <w:szCs w:val="21"/>
                <w:highlight w:val="none"/>
              </w:rPr>
              <w:t>容等。</w:t>
            </w:r>
          </w:p>
          <w:p w14:paraId="1469014E">
            <w:pPr>
              <w:pStyle w:val="239"/>
              <w:spacing w:line="219" w:lineRule="auto"/>
              <w:ind w:left="114"/>
              <w:rPr>
                <w:color w:val="auto"/>
                <w:sz w:val="21"/>
                <w:szCs w:val="21"/>
                <w:highlight w:val="none"/>
              </w:rPr>
            </w:pPr>
            <w:r>
              <w:rPr>
                <w:color w:val="auto"/>
                <w:spacing w:val="-2"/>
                <w:sz w:val="21"/>
                <w:szCs w:val="21"/>
                <w:highlight w:val="none"/>
              </w:rPr>
              <w:t>方案制定科学、合理的，可行性强</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8</w:t>
            </w:r>
            <w:r>
              <w:rPr>
                <w:rFonts w:hint="eastAsia" w:ascii="宋体" w:hAnsi="宋体" w:cs="宋体"/>
                <w:b/>
                <w:bCs/>
                <w:color w:val="auto"/>
                <w:sz w:val="21"/>
                <w:szCs w:val="21"/>
                <w:highlight w:val="none"/>
              </w:rPr>
              <w:t>分</w:t>
            </w:r>
            <w:r>
              <w:rPr>
                <w:b/>
                <w:bCs/>
                <w:color w:val="auto"/>
                <w:spacing w:val="-2"/>
                <w:sz w:val="21"/>
                <w:szCs w:val="21"/>
                <w:highlight w:val="none"/>
              </w:rPr>
              <w:t>；</w:t>
            </w:r>
          </w:p>
          <w:p w14:paraId="0823D819">
            <w:pPr>
              <w:pStyle w:val="239"/>
              <w:spacing w:before="62" w:line="274" w:lineRule="auto"/>
              <w:ind w:left="134" w:right="2628" w:firstLine="13"/>
              <w:rPr>
                <w:color w:val="auto"/>
                <w:spacing w:val="-5"/>
                <w:sz w:val="21"/>
                <w:szCs w:val="21"/>
                <w:highlight w:val="none"/>
              </w:rPr>
            </w:pPr>
            <w:r>
              <w:rPr>
                <w:color w:val="auto"/>
                <w:spacing w:val="-5"/>
                <w:sz w:val="21"/>
                <w:szCs w:val="21"/>
                <w:highlight w:val="none"/>
              </w:rPr>
              <w:t>方案制定较为科学、合理、可行性较强</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5</w:t>
            </w:r>
            <w:r>
              <w:rPr>
                <w:b/>
                <w:bCs/>
                <w:color w:val="auto"/>
                <w:spacing w:val="-5"/>
                <w:sz w:val="21"/>
                <w:szCs w:val="21"/>
                <w:highlight w:val="none"/>
              </w:rPr>
              <w:t>分</w:t>
            </w:r>
            <w:r>
              <w:rPr>
                <w:color w:val="auto"/>
                <w:spacing w:val="-5"/>
                <w:sz w:val="21"/>
                <w:szCs w:val="21"/>
                <w:highlight w:val="none"/>
              </w:rPr>
              <w:t>；</w:t>
            </w:r>
          </w:p>
          <w:p w14:paraId="24D81CF3">
            <w:pPr>
              <w:pStyle w:val="239"/>
              <w:spacing w:before="62" w:line="274" w:lineRule="auto"/>
              <w:ind w:left="134" w:right="2628" w:firstLine="13"/>
              <w:rPr>
                <w:color w:val="auto"/>
                <w:sz w:val="21"/>
                <w:szCs w:val="21"/>
                <w:highlight w:val="none"/>
              </w:rPr>
            </w:pPr>
            <w:r>
              <w:rPr>
                <w:color w:val="auto"/>
                <w:spacing w:val="-3"/>
                <w:sz w:val="21"/>
                <w:szCs w:val="21"/>
                <w:highlight w:val="none"/>
              </w:rPr>
              <w:t>方案制定粗略，可行性一般</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3</w:t>
            </w:r>
            <w:r>
              <w:rPr>
                <w:rFonts w:hint="eastAsia" w:ascii="宋体" w:hAnsi="宋体" w:cs="宋体"/>
                <w:b/>
                <w:bCs/>
                <w:color w:val="auto"/>
                <w:sz w:val="21"/>
                <w:szCs w:val="21"/>
                <w:highlight w:val="none"/>
              </w:rPr>
              <w:t>分</w:t>
            </w:r>
            <w:r>
              <w:rPr>
                <w:color w:val="auto"/>
                <w:spacing w:val="-3"/>
                <w:sz w:val="21"/>
                <w:szCs w:val="21"/>
                <w:highlight w:val="none"/>
              </w:rPr>
              <w:t>。</w:t>
            </w:r>
          </w:p>
          <w:p w14:paraId="0D1C07D6">
            <w:pPr>
              <w:pStyle w:val="239"/>
              <w:spacing w:before="1" w:line="219" w:lineRule="auto"/>
              <w:ind w:left="118"/>
              <w:rPr>
                <w:color w:val="auto"/>
                <w:sz w:val="21"/>
                <w:szCs w:val="21"/>
                <w:highlight w:val="none"/>
              </w:rPr>
            </w:pPr>
            <w:r>
              <w:rPr>
                <w:b/>
                <w:bCs/>
                <w:color w:val="auto"/>
                <w:spacing w:val="-7"/>
                <w:sz w:val="21"/>
                <w:szCs w:val="21"/>
                <w:highlight w:val="none"/>
              </w:rPr>
              <w:t>未提供不得分。</w:t>
            </w:r>
          </w:p>
        </w:tc>
      </w:tr>
    </w:tbl>
    <w:tbl>
      <w:tblPr>
        <w:tblStyle w:val="240"/>
        <w:tblpPr w:leftFromText="180" w:rightFromText="180" w:vertAnchor="text" w:horzAnchor="page" w:tblpX="1685" w:tblpY="1916"/>
        <w:tblOverlap w:val="never"/>
        <w:tblW w:w="935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0"/>
        <w:gridCol w:w="7684"/>
      </w:tblGrid>
      <w:tr w14:paraId="65DC5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0" w:hRule="atLeast"/>
        </w:trPr>
        <w:tc>
          <w:tcPr>
            <w:tcW w:w="1670" w:type="dxa"/>
            <w:vAlign w:val="top"/>
          </w:tcPr>
          <w:p w14:paraId="6CDCD1D7">
            <w:pPr>
              <w:spacing w:line="452" w:lineRule="auto"/>
              <w:rPr>
                <w:rFonts w:ascii="Arial"/>
                <w:color w:val="auto"/>
                <w:sz w:val="21"/>
                <w:highlight w:val="none"/>
              </w:rPr>
            </w:pPr>
          </w:p>
          <w:p w14:paraId="238E3C39">
            <w:pPr>
              <w:pStyle w:val="239"/>
              <w:spacing w:before="68" w:line="221" w:lineRule="auto"/>
              <w:ind w:left="214"/>
              <w:rPr>
                <w:color w:val="auto"/>
                <w:sz w:val="21"/>
                <w:szCs w:val="21"/>
                <w:highlight w:val="none"/>
              </w:rPr>
            </w:pPr>
            <w:r>
              <w:rPr>
                <w:color w:val="auto"/>
                <w:spacing w:val="-1"/>
                <w:sz w:val="21"/>
                <w:szCs w:val="21"/>
                <w:highlight w:val="none"/>
              </w:rPr>
              <w:t>物资装备管理</w:t>
            </w:r>
          </w:p>
          <w:p w14:paraId="6A66CEA1">
            <w:pPr>
              <w:pStyle w:val="239"/>
              <w:spacing w:before="60" w:line="221" w:lineRule="auto"/>
              <w:ind w:left="213"/>
              <w:rPr>
                <w:color w:val="auto"/>
                <w:sz w:val="21"/>
                <w:szCs w:val="21"/>
                <w:highlight w:val="none"/>
              </w:rPr>
            </w:pPr>
            <w:r>
              <w:rPr>
                <w:color w:val="auto"/>
                <w:spacing w:val="-1"/>
                <w:sz w:val="21"/>
                <w:szCs w:val="21"/>
                <w:highlight w:val="none"/>
              </w:rPr>
              <w:t>及维保使用方</w:t>
            </w:r>
          </w:p>
          <w:p w14:paraId="67E613DF">
            <w:pPr>
              <w:pStyle w:val="239"/>
              <w:spacing w:before="62" w:line="221" w:lineRule="auto"/>
              <w:ind w:left="345"/>
              <w:rPr>
                <w:color w:val="auto"/>
                <w:sz w:val="21"/>
                <w:szCs w:val="21"/>
                <w:highlight w:val="none"/>
              </w:rPr>
            </w:pPr>
            <w:r>
              <w:rPr>
                <w:color w:val="auto"/>
                <w:spacing w:val="-4"/>
                <w:sz w:val="21"/>
                <w:szCs w:val="21"/>
                <w:highlight w:val="none"/>
              </w:rPr>
              <w:t>案（</w:t>
            </w:r>
            <w:r>
              <w:rPr>
                <w:rFonts w:hint="eastAsia"/>
                <w:color w:val="auto"/>
                <w:spacing w:val="-4"/>
                <w:sz w:val="21"/>
                <w:szCs w:val="21"/>
                <w:highlight w:val="none"/>
                <w:lang w:val="en-US" w:eastAsia="zh-CN"/>
              </w:rPr>
              <w:t>8</w:t>
            </w:r>
            <w:r>
              <w:rPr>
                <w:color w:val="auto"/>
                <w:spacing w:val="-4"/>
                <w:sz w:val="21"/>
                <w:szCs w:val="21"/>
                <w:highlight w:val="none"/>
              </w:rPr>
              <w:t>分）</w:t>
            </w:r>
          </w:p>
        </w:tc>
        <w:tc>
          <w:tcPr>
            <w:tcW w:w="7684" w:type="dxa"/>
            <w:vAlign w:val="top"/>
          </w:tcPr>
          <w:p w14:paraId="679E5057">
            <w:pPr>
              <w:pStyle w:val="239"/>
              <w:spacing w:before="54" w:line="274" w:lineRule="auto"/>
              <w:ind w:left="123" w:right="101" w:hanging="6"/>
              <w:rPr>
                <w:color w:val="auto"/>
                <w:sz w:val="21"/>
                <w:szCs w:val="21"/>
                <w:highlight w:val="none"/>
              </w:rPr>
            </w:pPr>
            <w:r>
              <w:rPr>
                <w:color w:val="auto"/>
                <w:spacing w:val="3"/>
                <w:sz w:val="21"/>
                <w:szCs w:val="21"/>
                <w:highlight w:val="none"/>
              </w:rPr>
              <w:t>投标人针对本项目提供物资装备管理及维保使用方案。内容包括但不限于各类物</w:t>
            </w:r>
            <w:r>
              <w:rPr>
                <w:color w:val="auto"/>
                <w:spacing w:val="-5"/>
                <w:sz w:val="21"/>
                <w:szCs w:val="21"/>
                <w:highlight w:val="none"/>
              </w:rPr>
              <w:t>资、设施设备使用、维护、管理，人员配备、培训等。</w:t>
            </w:r>
          </w:p>
          <w:p w14:paraId="3AB46670">
            <w:pPr>
              <w:pStyle w:val="239"/>
              <w:spacing w:line="220" w:lineRule="auto"/>
              <w:ind w:left="114"/>
              <w:rPr>
                <w:color w:val="auto"/>
                <w:sz w:val="21"/>
                <w:szCs w:val="21"/>
                <w:highlight w:val="none"/>
              </w:rPr>
            </w:pPr>
            <w:r>
              <w:rPr>
                <w:color w:val="auto"/>
                <w:spacing w:val="-1"/>
                <w:sz w:val="21"/>
                <w:szCs w:val="21"/>
                <w:highlight w:val="none"/>
              </w:rPr>
              <w:t>方案制定全面详实、可操作性强</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8</w:t>
            </w:r>
            <w:r>
              <w:rPr>
                <w:rFonts w:hint="eastAsia" w:ascii="宋体" w:hAnsi="宋体" w:cs="宋体"/>
                <w:b/>
                <w:bCs/>
                <w:color w:val="auto"/>
                <w:sz w:val="21"/>
                <w:szCs w:val="21"/>
                <w:highlight w:val="none"/>
              </w:rPr>
              <w:t>分</w:t>
            </w:r>
            <w:r>
              <w:rPr>
                <w:color w:val="auto"/>
                <w:spacing w:val="-2"/>
                <w:sz w:val="21"/>
                <w:szCs w:val="21"/>
                <w:highlight w:val="none"/>
              </w:rPr>
              <w:t>；</w:t>
            </w:r>
          </w:p>
          <w:p w14:paraId="4264AB06">
            <w:pPr>
              <w:pStyle w:val="239"/>
              <w:spacing w:before="60" w:line="275" w:lineRule="auto"/>
              <w:ind w:left="134" w:right="2628" w:firstLine="13"/>
              <w:rPr>
                <w:color w:val="auto"/>
                <w:spacing w:val="-5"/>
                <w:sz w:val="21"/>
                <w:szCs w:val="21"/>
                <w:highlight w:val="none"/>
              </w:rPr>
            </w:pPr>
            <w:r>
              <w:rPr>
                <w:color w:val="auto"/>
                <w:spacing w:val="-5"/>
                <w:sz w:val="21"/>
                <w:szCs w:val="21"/>
                <w:highlight w:val="none"/>
              </w:rPr>
              <w:t>方案制定较为全面详实、可操作性较强</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5</w:t>
            </w:r>
            <w:r>
              <w:rPr>
                <w:rFonts w:hint="eastAsia" w:ascii="宋体" w:hAnsi="宋体" w:cs="宋体"/>
                <w:b/>
                <w:bCs/>
                <w:color w:val="auto"/>
                <w:sz w:val="21"/>
                <w:szCs w:val="21"/>
                <w:highlight w:val="none"/>
              </w:rPr>
              <w:t>分</w:t>
            </w:r>
            <w:r>
              <w:rPr>
                <w:color w:val="auto"/>
                <w:spacing w:val="-5"/>
                <w:sz w:val="21"/>
                <w:szCs w:val="21"/>
                <w:highlight w:val="none"/>
              </w:rPr>
              <w:t>；</w:t>
            </w:r>
          </w:p>
          <w:p w14:paraId="14325262">
            <w:pPr>
              <w:pStyle w:val="239"/>
              <w:spacing w:before="60" w:line="275" w:lineRule="auto"/>
              <w:ind w:left="134" w:right="2628" w:firstLine="13"/>
              <w:rPr>
                <w:color w:val="auto"/>
                <w:sz w:val="21"/>
                <w:szCs w:val="21"/>
                <w:highlight w:val="none"/>
              </w:rPr>
            </w:pPr>
            <w:r>
              <w:rPr>
                <w:color w:val="auto"/>
                <w:spacing w:val="-3"/>
                <w:sz w:val="21"/>
                <w:szCs w:val="21"/>
                <w:highlight w:val="none"/>
              </w:rPr>
              <w:t>方案制定简略，可操作性一般</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3</w:t>
            </w:r>
            <w:r>
              <w:rPr>
                <w:rFonts w:hint="eastAsia" w:ascii="宋体" w:hAnsi="宋体" w:cs="宋体"/>
                <w:b/>
                <w:bCs/>
                <w:color w:val="auto"/>
                <w:sz w:val="21"/>
                <w:szCs w:val="21"/>
                <w:highlight w:val="none"/>
              </w:rPr>
              <w:t>分</w:t>
            </w:r>
            <w:r>
              <w:rPr>
                <w:color w:val="auto"/>
                <w:spacing w:val="-3"/>
                <w:sz w:val="21"/>
                <w:szCs w:val="21"/>
                <w:highlight w:val="none"/>
              </w:rPr>
              <w:t>。</w:t>
            </w:r>
          </w:p>
          <w:p w14:paraId="2DC1DC3D">
            <w:pPr>
              <w:pStyle w:val="239"/>
              <w:spacing w:line="219" w:lineRule="auto"/>
              <w:ind w:left="118"/>
              <w:rPr>
                <w:color w:val="auto"/>
                <w:sz w:val="21"/>
                <w:szCs w:val="21"/>
                <w:highlight w:val="none"/>
              </w:rPr>
            </w:pPr>
            <w:r>
              <w:rPr>
                <w:b/>
                <w:bCs/>
                <w:color w:val="auto"/>
                <w:spacing w:val="-7"/>
                <w:sz w:val="21"/>
                <w:szCs w:val="21"/>
                <w:highlight w:val="none"/>
              </w:rPr>
              <w:t>未提供不得分。</w:t>
            </w:r>
          </w:p>
        </w:tc>
      </w:tr>
      <w:tr w14:paraId="0E3AC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1670" w:type="dxa"/>
            <w:vAlign w:val="top"/>
          </w:tcPr>
          <w:p w14:paraId="782F209F">
            <w:pPr>
              <w:spacing w:line="301" w:lineRule="auto"/>
              <w:rPr>
                <w:rFonts w:ascii="Arial"/>
                <w:color w:val="auto"/>
                <w:sz w:val="21"/>
                <w:highlight w:val="none"/>
              </w:rPr>
            </w:pPr>
          </w:p>
          <w:p w14:paraId="54AE720C">
            <w:pPr>
              <w:spacing w:line="301" w:lineRule="auto"/>
              <w:rPr>
                <w:rFonts w:ascii="Arial"/>
                <w:color w:val="auto"/>
                <w:sz w:val="21"/>
                <w:highlight w:val="none"/>
              </w:rPr>
            </w:pPr>
          </w:p>
          <w:p w14:paraId="69F2C845">
            <w:pPr>
              <w:pStyle w:val="239"/>
              <w:spacing w:before="69" w:line="277" w:lineRule="auto"/>
              <w:ind w:left="238" w:right="196" w:hanging="23"/>
              <w:rPr>
                <w:rFonts w:hint="eastAsia" w:eastAsia="宋体"/>
                <w:color w:val="auto"/>
                <w:sz w:val="21"/>
                <w:szCs w:val="21"/>
                <w:highlight w:val="none"/>
                <w:lang w:eastAsia="zh-CN"/>
              </w:rPr>
            </w:pPr>
            <w:r>
              <w:rPr>
                <w:rFonts w:hint="eastAsia"/>
                <w:color w:val="auto"/>
                <w:sz w:val="21"/>
                <w:szCs w:val="21"/>
                <w:highlight w:val="none"/>
              </w:rPr>
              <w:t>合理拟定菜品营养配比</w:t>
            </w:r>
            <w:r>
              <w:rPr>
                <w:rFonts w:hint="eastAsia"/>
                <w:color w:val="auto"/>
                <w:sz w:val="21"/>
                <w:szCs w:val="21"/>
                <w:highlight w:val="none"/>
                <w:lang w:eastAsia="zh-CN"/>
              </w:rPr>
              <w:t>（</w:t>
            </w:r>
            <w:r>
              <w:rPr>
                <w:rFonts w:hint="eastAsia"/>
                <w:color w:val="auto"/>
                <w:sz w:val="21"/>
                <w:szCs w:val="21"/>
                <w:highlight w:val="none"/>
                <w:lang w:val="en-US" w:eastAsia="zh-CN"/>
              </w:rPr>
              <w:t>8分</w:t>
            </w:r>
            <w:r>
              <w:rPr>
                <w:rFonts w:hint="eastAsia"/>
                <w:color w:val="auto"/>
                <w:sz w:val="21"/>
                <w:szCs w:val="21"/>
                <w:highlight w:val="none"/>
                <w:lang w:eastAsia="zh-CN"/>
              </w:rPr>
              <w:t>）</w:t>
            </w:r>
          </w:p>
          <w:p w14:paraId="5FAD50B9">
            <w:pPr>
              <w:pStyle w:val="239"/>
              <w:spacing w:before="69" w:line="277" w:lineRule="auto"/>
              <w:ind w:left="238" w:right="196" w:hanging="23"/>
              <w:rPr>
                <w:color w:val="auto"/>
                <w:sz w:val="21"/>
                <w:szCs w:val="21"/>
                <w:highlight w:val="none"/>
              </w:rPr>
            </w:pPr>
          </w:p>
        </w:tc>
        <w:tc>
          <w:tcPr>
            <w:tcW w:w="7684" w:type="dxa"/>
            <w:vAlign w:val="top"/>
          </w:tcPr>
          <w:p w14:paraId="1E3BC4B6">
            <w:pPr>
              <w:pStyle w:val="239"/>
              <w:spacing w:before="54" w:line="274" w:lineRule="auto"/>
              <w:ind w:left="123" w:right="101" w:hanging="6"/>
              <w:rPr>
                <w:rFonts w:hint="eastAsia"/>
                <w:color w:val="auto"/>
                <w:spacing w:val="-5"/>
                <w:sz w:val="21"/>
                <w:szCs w:val="21"/>
                <w:highlight w:val="none"/>
              </w:rPr>
            </w:pPr>
            <w:r>
              <w:rPr>
                <w:rFonts w:hint="eastAsia"/>
                <w:color w:val="auto"/>
                <w:spacing w:val="-5"/>
                <w:sz w:val="21"/>
                <w:szCs w:val="21"/>
                <w:highlight w:val="none"/>
              </w:rPr>
              <w:t>根据投标人提供的针对本项目菜色品种、质量标准、营养搭配合理、荤素搭配均衡，进行评审：</w:t>
            </w:r>
          </w:p>
          <w:p w14:paraId="7DC29BD7">
            <w:pPr>
              <w:pStyle w:val="239"/>
              <w:spacing w:before="54" w:line="274" w:lineRule="auto"/>
              <w:ind w:left="123" w:right="101" w:hanging="6"/>
              <w:rPr>
                <w:rFonts w:hint="eastAsia"/>
                <w:color w:val="auto"/>
                <w:spacing w:val="-5"/>
                <w:sz w:val="21"/>
                <w:szCs w:val="21"/>
                <w:highlight w:val="none"/>
              </w:rPr>
            </w:pPr>
            <w:r>
              <w:rPr>
                <w:rFonts w:hint="eastAsia"/>
                <w:color w:val="auto"/>
                <w:spacing w:val="-5"/>
                <w:sz w:val="21"/>
                <w:szCs w:val="21"/>
                <w:highlight w:val="none"/>
              </w:rPr>
              <w:t>菜式及出品方案丰富、营养搭配均衡合理的，</w:t>
            </w:r>
            <w:r>
              <w:rPr>
                <w:rFonts w:hint="eastAsia"/>
                <w:b/>
                <w:bCs/>
                <w:color w:val="auto"/>
                <w:spacing w:val="-5"/>
                <w:sz w:val="21"/>
                <w:szCs w:val="21"/>
                <w:highlight w:val="none"/>
              </w:rPr>
              <w:t>得</w:t>
            </w:r>
            <w:r>
              <w:rPr>
                <w:rFonts w:hint="eastAsia"/>
                <w:b/>
                <w:bCs/>
                <w:color w:val="auto"/>
                <w:spacing w:val="-5"/>
                <w:sz w:val="21"/>
                <w:szCs w:val="21"/>
                <w:highlight w:val="none"/>
                <w:lang w:val="en-US" w:eastAsia="zh-CN"/>
              </w:rPr>
              <w:t>8</w:t>
            </w:r>
            <w:r>
              <w:rPr>
                <w:rFonts w:hint="eastAsia"/>
                <w:b/>
                <w:bCs/>
                <w:color w:val="auto"/>
                <w:spacing w:val="-5"/>
                <w:sz w:val="21"/>
                <w:szCs w:val="21"/>
                <w:highlight w:val="none"/>
              </w:rPr>
              <w:t>分；</w:t>
            </w:r>
          </w:p>
          <w:p w14:paraId="345F46B6">
            <w:pPr>
              <w:pStyle w:val="239"/>
              <w:spacing w:before="54" w:line="274" w:lineRule="auto"/>
              <w:ind w:left="123" w:right="101" w:hanging="6"/>
              <w:rPr>
                <w:rFonts w:hint="eastAsia"/>
                <w:color w:val="auto"/>
                <w:spacing w:val="-5"/>
                <w:sz w:val="21"/>
                <w:szCs w:val="21"/>
                <w:highlight w:val="none"/>
              </w:rPr>
            </w:pPr>
            <w:r>
              <w:rPr>
                <w:rFonts w:hint="eastAsia"/>
                <w:color w:val="auto"/>
                <w:spacing w:val="-5"/>
                <w:sz w:val="21"/>
                <w:szCs w:val="21"/>
                <w:highlight w:val="none"/>
              </w:rPr>
              <w:t>菜式及出品方案较丰富、菜品营养搭配较好的，</w:t>
            </w:r>
            <w:r>
              <w:rPr>
                <w:rFonts w:hint="eastAsia"/>
                <w:b/>
                <w:bCs/>
                <w:color w:val="auto"/>
                <w:spacing w:val="-5"/>
                <w:sz w:val="21"/>
                <w:szCs w:val="21"/>
                <w:highlight w:val="none"/>
              </w:rPr>
              <w:t>得5分；</w:t>
            </w:r>
          </w:p>
          <w:p w14:paraId="74F07076">
            <w:pPr>
              <w:pStyle w:val="239"/>
              <w:spacing w:before="54" w:line="274" w:lineRule="auto"/>
              <w:ind w:left="123" w:right="101" w:hanging="6"/>
              <w:rPr>
                <w:color w:val="auto"/>
                <w:spacing w:val="-5"/>
                <w:sz w:val="21"/>
                <w:szCs w:val="21"/>
                <w:highlight w:val="none"/>
              </w:rPr>
            </w:pPr>
            <w:r>
              <w:rPr>
                <w:rFonts w:hint="eastAsia"/>
                <w:color w:val="auto"/>
                <w:spacing w:val="-5"/>
                <w:sz w:val="21"/>
                <w:szCs w:val="21"/>
                <w:highlight w:val="none"/>
              </w:rPr>
              <w:t>菜式及出品内容简单、菜品营养搭配一般的，</w:t>
            </w:r>
            <w:r>
              <w:rPr>
                <w:rFonts w:hint="eastAsia"/>
                <w:b/>
                <w:bCs/>
                <w:color w:val="auto"/>
                <w:spacing w:val="-5"/>
                <w:sz w:val="21"/>
                <w:szCs w:val="21"/>
                <w:highlight w:val="none"/>
              </w:rPr>
              <w:t>得3分；</w:t>
            </w:r>
          </w:p>
          <w:p w14:paraId="67E2CF73">
            <w:pPr>
              <w:pStyle w:val="239"/>
              <w:spacing w:before="54" w:line="274" w:lineRule="auto"/>
              <w:ind w:left="123" w:right="101" w:hanging="6"/>
              <w:rPr>
                <w:color w:val="auto"/>
                <w:sz w:val="21"/>
                <w:szCs w:val="21"/>
                <w:highlight w:val="none"/>
              </w:rPr>
            </w:pPr>
            <w:r>
              <w:rPr>
                <w:b/>
                <w:bCs/>
                <w:color w:val="auto"/>
                <w:spacing w:val="-5"/>
                <w:sz w:val="21"/>
                <w:szCs w:val="21"/>
                <w:highlight w:val="none"/>
              </w:rPr>
              <w:t>未提供不得分</w:t>
            </w:r>
            <w:r>
              <w:rPr>
                <w:b/>
                <w:bCs/>
                <w:color w:val="auto"/>
                <w:spacing w:val="-7"/>
                <w:sz w:val="21"/>
                <w:szCs w:val="21"/>
                <w:highlight w:val="none"/>
              </w:rPr>
              <w:t>。</w:t>
            </w:r>
          </w:p>
        </w:tc>
      </w:tr>
      <w:tr w14:paraId="48B2C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3" w:hRule="atLeast"/>
        </w:trPr>
        <w:tc>
          <w:tcPr>
            <w:tcW w:w="1670" w:type="dxa"/>
            <w:vAlign w:val="top"/>
          </w:tcPr>
          <w:p w14:paraId="7FFC8175">
            <w:pPr>
              <w:spacing w:line="450" w:lineRule="auto"/>
              <w:rPr>
                <w:rFonts w:ascii="Arial"/>
                <w:color w:val="auto"/>
                <w:sz w:val="21"/>
                <w:highlight w:val="none"/>
              </w:rPr>
            </w:pPr>
          </w:p>
          <w:p w14:paraId="5CB7D1BD">
            <w:pPr>
              <w:pStyle w:val="239"/>
              <w:spacing w:before="69" w:line="220" w:lineRule="auto"/>
              <w:ind w:left="214"/>
              <w:rPr>
                <w:color w:val="auto"/>
                <w:sz w:val="21"/>
                <w:szCs w:val="21"/>
                <w:highlight w:val="none"/>
              </w:rPr>
            </w:pPr>
            <w:r>
              <w:rPr>
                <w:color w:val="auto"/>
                <w:spacing w:val="-1"/>
                <w:sz w:val="21"/>
                <w:szCs w:val="21"/>
                <w:highlight w:val="none"/>
              </w:rPr>
              <w:t>食品加工与供</w:t>
            </w:r>
          </w:p>
          <w:p w14:paraId="78E430A9">
            <w:pPr>
              <w:pStyle w:val="239"/>
              <w:spacing w:before="62" w:line="221" w:lineRule="auto"/>
              <w:ind w:left="216"/>
              <w:rPr>
                <w:color w:val="auto"/>
                <w:sz w:val="21"/>
                <w:szCs w:val="21"/>
                <w:highlight w:val="none"/>
              </w:rPr>
            </w:pPr>
            <w:r>
              <w:rPr>
                <w:color w:val="auto"/>
                <w:spacing w:val="-1"/>
                <w:sz w:val="21"/>
                <w:szCs w:val="21"/>
                <w:highlight w:val="none"/>
              </w:rPr>
              <w:t>餐服务保障方</w:t>
            </w:r>
          </w:p>
          <w:p w14:paraId="5943FC82">
            <w:pPr>
              <w:pStyle w:val="239"/>
              <w:spacing w:before="61" w:line="221" w:lineRule="auto"/>
              <w:ind w:left="345"/>
              <w:rPr>
                <w:color w:val="auto"/>
                <w:sz w:val="21"/>
                <w:szCs w:val="21"/>
                <w:highlight w:val="none"/>
              </w:rPr>
            </w:pPr>
            <w:r>
              <w:rPr>
                <w:color w:val="auto"/>
                <w:spacing w:val="-4"/>
                <w:sz w:val="21"/>
                <w:szCs w:val="21"/>
                <w:highlight w:val="none"/>
              </w:rPr>
              <w:t>案（</w:t>
            </w:r>
            <w:r>
              <w:rPr>
                <w:rFonts w:hint="eastAsia"/>
                <w:color w:val="auto"/>
                <w:spacing w:val="-4"/>
                <w:sz w:val="21"/>
                <w:szCs w:val="21"/>
                <w:highlight w:val="none"/>
                <w:lang w:val="en-US" w:eastAsia="zh-CN"/>
              </w:rPr>
              <w:t>7</w:t>
            </w:r>
            <w:r>
              <w:rPr>
                <w:color w:val="auto"/>
                <w:spacing w:val="-4"/>
                <w:sz w:val="21"/>
                <w:szCs w:val="21"/>
                <w:highlight w:val="none"/>
              </w:rPr>
              <w:t>分）</w:t>
            </w:r>
          </w:p>
        </w:tc>
        <w:tc>
          <w:tcPr>
            <w:tcW w:w="7684" w:type="dxa"/>
            <w:vAlign w:val="top"/>
          </w:tcPr>
          <w:p w14:paraId="12242CFD">
            <w:pPr>
              <w:pStyle w:val="239"/>
              <w:spacing w:before="53" w:line="274" w:lineRule="auto"/>
              <w:ind w:left="114" w:right="29" w:firstLine="3"/>
              <w:rPr>
                <w:rFonts w:hint="eastAsia" w:cs="宋体"/>
                <w:b/>
                <w:bCs/>
                <w:color w:val="auto"/>
                <w:sz w:val="21"/>
                <w:szCs w:val="21"/>
                <w:highlight w:val="none"/>
                <w:lang w:eastAsia="zh-CN"/>
              </w:rPr>
            </w:pPr>
            <w:r>
              <w:rPr>
                <w:color w:val="auto"/>
                <w:spacing w:val="-3"/>
                <w:sz w:val="21"/>
                <w:szCs w:val="21"/>
                <w:highlight w:val="none"/>
              </w:rPr>
              <w:t>投标人针对本项目提供食品加工与供餐服务保障方案。内容须包含日常供餐、处置</w:t>
            </w:r>
            <w:r>
              <w:rPr>
                <w:color w:val="auto"/>
                <w:spacing w:val="-6"/>
                <w:sz w:val="21"/>
                <w:szCs w:val="21"/>
                <w:highlight w:val="none"/>
              </w:rPr>
              <w:t>突发事件应急供餐、自助餐供餐和临</w:t>
            </w:r>
            <w:r>
              <w:rPr>
                <w:color w:val="auto"/>
                <w:spacing w:val="-7"/>
                <w:sz w:val="21"/>
                <w:szCs w:val="21"/>
                <w:highlight w:val="none"/>
              </w:rPr>
              <w:t>时性用餐等</w:t>
            </w:r>
            <w:r>
              <w:rPr>
                <w:rFonts w:hint="eastAsia" w:cs="宋体"/>
                <w:b/>
                <w:bCs/>
                <w:color w:val="auto"/>
                <w:sz w:val="21"/>
                <w:szCs w:val="21"/>
                <w:highlight w:val="none"/>
                <w:lang w:eastAsia="zh-CN"/>
              </w:rPr>
              <w:t>。</w:t>
            </w:r>
          </w:p>
          <w:p w14:paraId="1F61FC7E">
            <w:pPr>
              <w:pStyle w:val="239"/>
              <w:spacing w:before="53" w:line="274" w:lineRule="auto"/>
              <w:ind w:left="114" w:right="29" w:firstLine="3"/>
              <w:rPr>
                <w:rFonts w:hint="default" w:ascii="宋体" w:hAnsi="宋体" w:eastAsia="宋体" w:cs="宋体"/>
                <w:b/>
                <w:bCs/>
                <w:color w:val="auto"/>
                <w:sz w:val="21"/>
                <w:szCs w:val="21"/>
                <w:highlight w:val="none"/>
                <w:lang w:val="en-US" w:eastAsia="zh-CN"/>
              </w:rPr>
            </w:pPr>
            <w:r>
              <w:rPr>
                <w:color w:val="auto"/>
                <w:spacing w:val="-7"/>
                <w:sz w:val="21"/>
                <w:szCs w:val="21"/>
                <w:highlight w:val="none"/>
              </w:rPr>
              <w:t>方案制定内容全面详实、措施完善、针对性、可操作性强</w:t>
            </w:r>
            <w:r>
              <w:rPr>
                <w:rFonts w:hint="eastAsia" w:cs="宋体"/>
                <w:b/>
                <w:bCs/>
                <w:color w:val="auto"/>
                <w:sz w:val="21"/>
                <w:szCs w:val="21"/>
                <w:highlight w:val="none"/>
                <w:lang w:val="en-US" w:eastAsia="zh-CN"/>
              </w:rPr>
              <w:t>得7分</w:t>
            </w:r>
          </w:p>
          <w:p w14:paraId="322F0CC3">
            <w:pPr>
              <w:pStyle w:val="239"/>
              <w:spacing w:line="274" w:lineRule="auto"/>
              <w:ind w:left="134" w:right="50" w:firstLine="13"/>
              <w:rPr>
                <w:b/>
                <w:bCs/>
                <w:color w:val="auto"/>
                <w:spacing w:val="-7"/>
                <w:sz w:val="21"/>
                <w:szCs w:val="21"/>
                <w:highlight w:val="none"/>
              </w:rPr>
            </w:pPr>
            <w:r>
              <w:rPr>
                <w:color w:val="auto"/>
                <w:spacing w:val="-7"/>
                <w:sz w:val="21"/>
                <w:szCs w:val="21"/>
                <w:highlight w:val="none"/>
              </w:rPr>
              <w:t>方案制定内容较为全面详实、措施较为完善、针对性、可操作性较强</w:t>
            </w:r>
            <w:r>
              <w:rPr>
                <w:rFonts w:hint="eastAsia" w:ascii="宋体" w:hAnsi="宋体" w:cs="宋体"/>
                <w:b/>
                <w:bCs/>
                <w:color w:val="auto"/>
                <w:sz w:val="21"/>
                <w:szCs w:val="21"/>
                <w:highlight w:val="none"/>
              </w:rPr>
              <w:t>得分</w:t>
            </w:r>
            <w:r>
              <w:rPr>
                <w:rFonts w:hint="eastAsia" w:cs="宋体"/>
                <w:b/>
                <w:bCs/>
                <w:color w:val="auto"/>
                <w:sz w:val="21"/>
                <w:szCs w:val="21"/>
                <w:highlight w:val="none"/>
                <w:lang w:val="en-US" w:eastAsia="zh-CN"/>
              </w:rPr>
              <w:t>5</w:t>
            </w:r>
            <w:r>
              <w:rPr>
                <w:b/>
                <w:bCs/>
                <w:color w:val="auto"/>
                <w:spacing w:val="-7"/>
                <w:sz w:val="21"/>
                <w:szCs w:val="21"/>
                <w:highlight w:val="none"/>
              </w:rPr>
              <w:t>分；</w:t>
            </w:r>
          </w:p>
          <w:p w14:paraId="020E6F24">
            <w:pPr>
              <w:pStyle w:val="239"/>
              <w:spacing w:line="274" w:lineRule="auto"/>
              <w:ind w:left="134" w:right="50" w:firstLine="13"/>
              <w:rPr>
                <w:color w:val="auto"/>
                <w:sz w:val="21"/>
                <w:szCs w:val="21"/>
                <w:highlight w:val="none"/>
              </w:rPr>
            </w:pPr>
            <w:r>
              <w:rPr>
                <w:color w:val="auto"/>
                <w:spacing w:val="-1"/>
                <w:sz w:val="21"/>
                <w:szCs w:val="21"/>
                <w:highlight w:val="none"/>
              </w:rPr>
              <w:t>方案制定内容简单粗略，措施一般、针对性、可</w:t>
            </w:r>
            <w:r>
              <w:rPr>
                <w:color w:val="auto"/>
                <w:spacing w:val="-2"/>
                <w:sz w:val="21"/>
                <w:szCs w:val="21"/>
                <w:highlight w:val="none"/>
              </w:rPr>
              <w:t>操作性一般</w:t>
            </w:r>
            <w:r>
              <w:rPr>
                <w:rFonts w:hint="eastAsia" w:ascii="宋体" w:hAnsi="宋体" w:cs="宋体"/>
                <w:b/>
                <w:bCs/>
                <w:color w:val="auto"/>
                <w:sz w:val="21"/>
                <w:szCs w:val="21"/>
                <w:highlight w:val="none"/>
              </w:rPr>
              <w:t>得</w:t>
            </w:r>
            <w:r>
              <w:rPr>
                <w:rFonts w:hint="eastAsia" w:cs="宋体"/>
                <w:b/>
                <w:bCs/>
                <w:color w:val="auto"/>
                <w:sz w:val="21"/>
                <w:szCs w:val="21"/>
                <w:highlight w:val="none"/>
                <w:lang w:val="en-US" w:eastAsia="zh-CN"/>
              </w:rPr>
              <w:t>3</w:t>
            </w:r>
            <w:r>
              <w:rPr>
                <w:rFonts w:hint="eastAsia" w:ascii="宋体" w:hAnsi="宋体" w:cs="宋体"/>
                <w:b/>
                <w:bCs/>
                <w:color w:val="auto"/>
                <w:sz w:val="21"/>
                <w:szCs w:val="21"/>
                <w:highlight w:val="none"/>
              </w:rPr>
              <w:t>分</w:t>
            </w:r>
            <w:r>
              <w:rPr>
                <w:color w:val="auto"/>
                <w:spacing w:val="-2"/>
                <w:sz w:val="21"/>
                <w:szCs w:val="21"/>
                <w:highlight w:val="none"/>
              </w:rPr>
              <w:t>。</w:t>
            </w:r>
          </w:p>
          <w:p w14:paraId="408C087B">
            <w:pPr>
              <w:pStyle w:val="239"/>
              <w:spacing w:line="219" w:lineRule="auto"/>
              <w:ind w:left="118"/>
              <w:rPr>
                <w:color w:val="auto"/>
                <w:sz w:val="21"/>
                <w:szCs w:val="21"/>
                <w:highlight w:val="none"/>
              </w:rPr>
            </w:pPr>
            <w:r>
              <w:rPr>
                <w:b/>
                <w:bCs/>
                <w:color w:val="auto"/>
                <w:spacing w:val="-7"/>
                <w:sz w:val="21"/>
                <w:szCs w:val="21"/>
                <w:highlight w:val="none"/>
              </w:rPr>
              <w:t>未提供不得分。</w:t>
            </w:r>
          </w:p>
        </w:tc>
      </w:tr>
    </w:tbl>
    <w:p w14:paraId="2BB136E1">
      <w:pPr>
        <w:spacing w:before="39" w:line="360" w:lineRule="auto"/>
        <w:ind w:right="0" w:rightChars="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注：投标文件中所提供的全部证明材料，评审结束后采购人有权进行核实，如有不</w:t>
      </w:r>
      <w:r>
        <w:rPr>
          <w:rFonts w:ascii="宋体" w:hAnsi="宋体" w:eastAsia="宋体" w:cs="宋体"/>
          <w:b/>
          <w:bCs/>
          <w:color w:val="auto"/>
          <w:spacing w:val="-4"/>
          <w:sz w:val="24"/>
          <w:szCs w:val="24"/>
          <w:highlight w:val="none"/>
        </w:rPr>
        <w:t>实，将按照相关法律法规规定进行处理。</w:t>
      </w:r>
    </w:p>
    <w:p w14:paraId="1CF9D9DC">
      <w:pPr>
        <w:spacing w:before="1" w:line="359" w:lineRule="auto"/>
        <w:ind w:right="0" w:rightChars="0"/>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其他说明：中式烹调师证分五个等级</w:t>
      </w:r>
      <w:r>
        <w:rPr>
          <w:rFonts w:ascii="宋体" w:hAnsi="宋体" w:eastAsia="宋体" w:cs="宋体"/>
          <w:color w:val="auto"/>
          <w:spacing w:val="-2"/>
          <w:sz w:val="24"/>
          <w:szCs w:val="24"/>
          <w:highlight w:val="none"/>
        </w:rPr>
        <w:t>，分别为中式烹调师初级（国家职业</w:t>
      </w:r>
      <w:r>
        <w:rPr>
          <w:rFonts w:ascii="宋体" w:hAnsi="宋体" w:eastAsia="宋体" w:cs="宋体"/>
          <w:color w:val="auto"/>
          <w:spacing w:val="-3"/>
          <w:sz w:val="24"/>
          <w:szCs w:val="24"/>
          <w:highlight w:val="none"/>
        </w:rPr>
        <w:t>资格五级）、中</w:t>
      </w:r>
      <w:r>
        <w:rPr>
          <w:rFonts w:ascii="宋体" w:hAnsi="宋体" w:eastAsia="宋体" w:cs="宋体"/>
          <w:color w:val="auto"/>
          <w:spacing w:val="-1"/>
          <w:sz w:val="24"/>
          <w:szCs w:val="24"/>
          <w:highlight w:val="none"/>
        </w:rPr>
        <w:t>式烹调师中级（国家职业资格四级）、中式烹调师高级（国家职业资格三级）、中式烹调</w:t>
      </w:r>
      <w:r>
        <w:rPr>
          <w:rFonts w:ascii="宋体" w:hAnsi="宋体" w:eastAsia="宋体" w:cs="宋体"/>
          <w:color w:val="auto"/>
          <w:sz w:val="24"/>
          <w:szCs w:val="24"/>
          <w:highlight w:val="none"/>
        </w:rPr>
        <w:t>师技师（国家职业资格二级）、中式烹调师高级技</w:t>
      </w:r>
      <w:r>
        <w:rPr>
          <w:rFonts w:ascii="宋体" w:hAnsi="宋体" w:eastAsia="宋体" w:cs="宋体"/>
          <w:color w:val="auto"/>
          <w:spacing w:val="-1"/>
          <w:sz w:val="24"/>
          <w:szCs w:val="24"/>
          <w:highlight w:val="none"/>
        </w:rPr>
        <w:t>师（国家职业资格一级）。</w:t>
      </w:r>
    </w:p>
    <w:p w14:paraId="68068577">
      <w:pPr>
        <w:spacing w:before="2" w:line="359" w:lineRule="auto"/>
        <w:ind w:right="0" w:rightChars="0"/>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中式面点师分为五个等级</w:t>
      </w:r>
      <w:r>
        <w:rPr>
          <w:rFonts w:ascii="宋体" w:hAnsi="宋体" w:eastAsia="宋体" w:cs="宋体"/>
          <w:color w:val="auto"/>
          <w:spacing w:val="-2"/>
          <w:sz w:val="24"/>
          <w:szCs w:val="24"/>
          <w:highlight w:val="none"/>
        </w:rPr>
        <w:t>：中式面点师初级（国家职业资</w:t>
      </w:r>
      <w:r>
        <w:rPr>
          <w:rFonts w:ascii="宋体" w:hAnsi="宋体" w:eastAsia="宋体" w:cs="宋体"/>
          <w:color w:val="auto"/>
          <w:spacing w:val="-3"/>
          <w:sz w:val="24"/>
          <w:szCs w:val="24"/>
          <w:highlight w:val="none"/>
        </w:rPr>
        <w:t>格五级）、中式面点师中级（国</w:t>
      </w:r>
      <w:r>
        <w:rPr>
          <w:rFonts w:ascii="宋体" w:hAnsi="宋体" w:eastAsia="宋体" w:cs="宋体"/>
          <w:color w:val="auto"/>
          <w:sz w:val="24"/>
          <w:szCs w:val="24"/>
          <w:highlight w:val="none"/>
        </w:rPr>
        <w:t>家职业资格四级）、中式面点师高级（国家职业资格三</w:t>
      </w:r>
      <w:r>
        <w:rPr>
          <w:rFonts w:ascii="宋体" w:hAnsi="宋体" w:eastAsia="宋体" w:cs="宋体"/>
          <w:color w:val="auto"/>
          <w:spacing w:val="-1"/>
          <w:sz w:val="24"/>
          <w:szCs w:val="24"/>
          <w:highlight w:val="none"/>
        </w:rPr>
        <w:t>级）、中式面点师技师（国家职业</w:t>
      </w:r>
      <w:r>
        <w:rPr>
          <w:rFonts w:ascii="宋体" w:hAnsi="宋体" w:eastAsia="宋体" w:cs="宋体"/>
          <w:color w:val="auto"/>
          <w:spacing w:val="-2"/>
          <w:sz w:val="24"/>
          <w:szCs w:val="24"/>
          <w:highlight w:val="none"/>
        </w:rPr>
        <w:t>资格二级）、中式面点师高级技师（国家职业资格一级）。</w:t>
      </w:r>
    </w:p>
    <w:p w14:paraId="4036BE29">
      <w:pPr>
        <w:pStyle w:val="185"/>
        <w:spacing w:before="156" w:after="156" w:line="360" w:lineRule="auto"/>
        <w:jc w:val="center"/>
        <w:rPr>
          <w:rFonts w:ascii="黑体" w:hAnsi="黑体" w:eastAsia="黑体"/>
          <w:b w:val="0"/>
          <w:color w:val="auto"/>
          <w:highlight w:val="none"/>
        </w:rPr>
      </w:pPr>
      <w:bookmarkStart w:id="167" w:name="_Toc155796361"/>
      <w:r>
        <w:rPr>
          <w:rFonts w:hint="eastAsia" w:ascii="黑体" w:hAnsi="黑体" w:eastAsia="黑体"/>
          <w:b w:val="0"/>
          <w:color w:val="auto"/>
          <w:highlight w:val="none"/>
        </w:rPr>
        <w:t>第六章  投标文件格式</w:t>
      </w:r>
      <w:bookmarkEnd w:id="167"/>
    </w:p>
    <w:p w14:paraId="6FA2A327">
      <w:pPr>
        <w:spacing w:line="500" w:lineRule="exact"/>
        <w:jc w:val="left"/>
        <w:rPr>
          <w:color w:val="auto"/>
          <w:sz w:val="24"/>
          <w:szCs w:val="24"/>
          <w:highlight w:val="none"/>
        </w:rPr>
      </w:pPr>
    </w:p>
    <w:p w14:paraId="5E39E99B">
      <w:pPr>
        <w:jc w:val="center"/>
        <w:rPr>
          <w:rFonts w:ascii="宋体" w:hAnsi="宋体"/>
          <w:b/>
          <w:color w:val="auto"/>
          <w:sz w:val="72"/>
          <w:szCs w:val="21"/>
          <w:highlight w:val="none"/>
        </w:rPr>
      </w:pPr>
    </w:p>
    <w:p w14:paraId="66C74752">
      <w:pPr>
        <w:jc w:val="center"/>
        <w:rPr>
          <w:rFonts w:ascii="宋体" w:hAnsi="宋体"/>
          <w:b/>
          <w:color w:val="auto"/>
          <w:sz w:val="72"/>
          <w:szCs w:val="21"/>
          <w:highlight w:val="none"/>
        </w:rPr>
      </w:pPr>
      <w:r>
        <w:rPr>
          <w:rFonts w:hint="eastAsia" w:ascii="宋体" w:hAnsi="宋体"/>
          <w:b/>
          <w:color w:val="auto"/>
          <w:sz w:val="72"/>
          <w:szCs w:val="21"/>
          <w:highlight w:val="none"/>
        </w:rPr>
        <w:t>投  标  文  件</w:t>
      </w:r>
    </w:p>
    <w:p w14:paraId="0DB20B12">
      <w:pPr>
        <w:jc w:val="center"/>
        <w:rPr>
          <w:rFonts w:ascii="宋体" w:hAnsi="宋体"/>
          <w:b/>
          <w:color w:val="auto"/>
          <w:sz w:val="72"/>
          <w:szCs w:val="21"/>
          <w:highlight w:val="none"/>
        </w:rPr>
      </w:pPr>
    </w:p>
    <w:p w14:paraId="26F7616C">
      <w:pPr>
        <w:jc w:val="center"/>
        <w:rPr>
          <w:rFonts w:ascii="宋体" w:hAnsi="宋体"/>
          <w:b/>
          <w:color w:val="auto"/>
          <w:sz w:val="72"/>
          <w:szCs w:val="21"/>
          <w:highlight w:val="none"/>
        </w:rPr>
      </w:pPr>
    </w:p>
    <w:p w14:paraId="22927731">
      <w:pPr>
        <w:jc w:val="center"/>
        <w:rPr>
          <w:rFonts w:ascii="宋体" w:hAnsi="宋体"/>
          <w:b/>
          <w:color w:val="auto"/>
          <w:sz w:val="36"/>
          <w:szCs w:val="21"/>
          <w:highlight w:val="none"/>
        </w:rPr>
      </w:pPr>
    </w:p>
    <w:p w14:paraId="698CEF48">
      <w:pPr>
        <w:jc w:val="center"/>
        <w:rPr>
          <w:rFonts w:ascii="宋体" w:hAnsi="宋体"/>
          <w:b/>
          <w:color w:val="auto"/>
          <w:sz w:val="36"/>
          <w:szCs w:val="21"/>
          <w:highlight w:val="none"/>
        </w:rPr>
      </w:pPr>
    </w:p>
    <w:p w14:paraId="79291F1A">
      <w:pPr>
        <w:jc w:val="center"/>
        <w:rPr>
          <w:rFonts w:ascii="宋体" w:hAnsi="宋体"/>
          <w:b/>
          <w:color w:val="auto"/>
          <w:sz w:val="36"/>
          <w:szCs w:val="21"/>
          <w:highlight w:val="none"/>
        </w:rPr>
      </w:pPr>
    </w:p>
    <w:p w14:paraId="2D6DAE1A">
      <w:pPr>
        <w:ind w:firstLine="1084"/>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156A0902">
      <w:pPr>
        <w:ind w:firstLine="1084"/>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32C3A8F4">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（加盖CA电子公章）</w:t>
      </w:r>
    </w:p>
    <w:p w14:paraId="386D322A">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40FD1FC0">
      <w:pPr>
        <w:spacing w:line="440" w:lineRule="exact"/>
        <w:jc w:val="center"/>
        <w:rPr>
          <w:rFonts w:ascii="宋体" w:hAnsi="宋体"/>
          <w:b/>
          <w:bCs/>
          <w:color w:val="auto"/>
          <w:sz w:val="32"/>
          <w:szCs w:val="32"/>
          <w:highlight w:val="none"/>
        </w:rPr>
      </w:pPr>
    </w:p>
    <w:p w14:paraId="7D402BBC">
      <w:pPr>
        <w:spacing w:line="440" w:lineRule="exact"/>
        <w:rPr>
          <w:rFonts w:ascii="宋体" w:hAnsi="宋体"/>
          <w:color w:val="auto"/>
          <w:szCs w:val="21"/>
          <w:highlight w:val="none"/>
        </w:rPr>
      </w:pPr>
    </w:p>
    <w:p w14:paraId="0D8114EB">
      <w:pPr>
        <w:spacing w:line="500" w:lineRule="exact"/>
        <w:jc w:val="left"/>
        <w:rPr>
          <w:color w:val="auto"/>
          <w:sz w:val="24"/>
          <w:szCs w:val="24"/>
          <w:highlight w:val="none"/>
        </w:rPr>
      </w:pPr>
    </w:p>
    <w:p w14:paraId="2F2C6B39">
      <w:pPr>
        <w:spacing w:line="500" w:lineRule="exact"/>
        <w:jc w:val="left"/>
        <w:rPr>
          <w:color w:val="auto"/>
          <w:sz w:val="24"/>
          <w:szCs w:val="24"/>
          <w:highlight w:val="none"/>
        </w:rPr>
      </w:pPr>
    </w:p>
    <w:p w14:paraId="38E95887">
      <w:pPr>
        <w:spacing w:line="500" w:lineRule="exact"/>
        <w:jc w:val="left"/>
        <w:rPr>
          <w:color w:val="auto"/>
          <w:sz w:val="24"/>
          <w:szCs w:val="24"/>
          <w:highlight w:val="none"/>
        </w:rPr>
      </w:pPr>
    </w:p>
    <w:p w14:paraId="2F7925C4">
      <w:pPr>
        <w:widowControl/>
        <w:jc w:val="left"/>
        <w:rPr>
          <w:color w:val="auto"/>
          <w:sz w:val="24"/>
          <w:szCs w:val="24"/>
          <w:highlight w:val="none"/>
        </w:rPr>
      </w:pPr>
      <w:r>
        <w:rPr>
          <w:color w:val="auto"/>
          <w:sz w:val="24"/>
          <w:szCs w:val="24"/>
          <w:highlight w:val="none"/>
        </w:rPr>
        <w:br w:type="page" w:clear="all"/>
      </w:r>
    </w:p>
    <w:p w14:paraId="2FEA22E0">
      <w:pPr>
        <w:keepNext/>
        <w:keepLines/>
        <w:outlineLvl w:val="1"/>
        <w:rPr>
          <w:rFonts w:ascii="Arial" w:hAnsi="Arial" w:eastAsia="黑体" w:cs="Times New Roman"/>
          <w:b/>
          <w:bCs/>
          <w:color w:val="auto"/>
          <w:sz w:val="32"/>
          <w:szCs w:val="32"/>
          <w:highlight w:val="none"/>
        </w:rPr>
      </w:pPr>
      <w:bookmarkStart w:id="168" w:name="_Toc32532"/>
      <w:r>
        <w:rPr>
          <w:rFonts w:ascii="Arial" w:hAnsi="Arial" w:eastAsia="黑体" w:cs="Times New Roman"/>
          <w:b/>
          <w:bCs/>
          <w:color w:val="auto"/>
          <w:sz w:val="24"/>
          <w:szCs w:val="32"/>
          <w:highlight w:val="none"/>
        </w:rPr>
        <w:t>格式</w:t>
      </w:r>
      <w:r>
        <w:rPr>
          <w:rFonts w:hint="eastAsia" w:ascii="Arial" w:hAnsi="Arial" w:eastAsia="黑体" w:cs="Times New Roman"/>
          <w:b/>
          <w:bCs/>
          <w:color w:val="auto"/>
          <w:sz w:val="24"/>
          <w:szCs w:val="32"/>
          <w:highlight w:val="none"/>
        </w:rPr>
        <w:t>1、响应函</w:t>
      </w:r>
      <w:bookmarkEnd w:id="168"/>
    </w:p>
    <w:p w14:paraId="710A8C5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 应 函</w:t>
      </w:r>
    </w:p>
    <w:p w14:paraId="7D27D454">
      <w:pPr>
        <w:spacing w:line="360"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致：【采购单位】</w:t>
      </w:r>
    </w:p>
    <w:p w14:paraId="326B1BA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根据贵方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标段（标段编号：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）采购文件，正式授权下述签字人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全权代表</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参加贵方组织的采购活动，按照采购文件要求提交响应文件。</w:t>
      </w:r>
    </w:p>
    <w:p w14:paraId="4C7DE4E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据此函，签字人兹宣布同意如下：</w:t>
      </w:r>
    </w:p>
    <w:p w14:paraId="265712B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1.按采购文件项目需求提交响应报价，报价、交货期等详见开标一览表。</w:t>
      </w:r>
    </w:p>
    <w:p w14:paraId="52D551A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2.我方同意在本标段采购文件中规定的响应文件递交截止之日起60天内遵守本响应文件中的承诺且在此期限期满之前均具有约束力。</w:t>
      </w:r>
    </w:p>
    <w:p w14:paraId="2B215CB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3.我方承诺已经具备《中华人民共和国政府采购法》中规定的参加政府采购活动的供应商应当具备的条件：</w:t>
      </w:r>
    </w:p>
    <w:p w14:paraId="7C3C566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(1)具有独立承担民事责任的能力；</w:t>
      </w:r>
    </w:p>
    <w:p w14:paraId="3FF6E3C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(2)具有良好的商业信誉和健全的财务会计制度；</w:t>
      </w:r>
    </w:p>
    <w:p w14:paraId="56E5C9D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(3)具有履行合同所必需的设备和专业技术能力；</w:t>
      </w:r>
    </w:p>
    <w:p w14:paraId="45D61BB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(4)有依法缴纳税收和社会保障资金的良好记录；</w:t>
      </w:r>
    </w:p>
    <w:p w14:paraId="683C90B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(5)参加此项采购活动前三年内，在经营活动中没有重大违法记录。</w:t>
      </w:r>
    </w:p>
    <w:p w14:paraId="2C542BB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4.我方根据采购文件的规定，承担完成合同的责任和义务。</w:t>
      </w:r>
    </w:p>
    <w:p w14:paraId="2F4F31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5.我方已详细审核采购文件，我方知道必须放弃提出含糊不清或误解问题的权利。</w:t>
      </w:r>
    </w:p>
    <w:p w14:paraId="484E748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6.如果在响应文件有效期内撤回或者有其他违约行为，我方的保证金可被贵方全部或部分没收。</w:t>
      </w:r>
    </w:p>
    <w:p w14:paraId="5DC03CD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7.同意应贵方要求提供与本次采购活动有关的任何数据或资料。</w:t>
      </w:r>
    </w:p>
    <w:p w14:paraId="273D2D8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8.我方完全理解，最低报价不是中标（成交）的唯一条件。</w:t>
      </w:r>
    </w:p>
    <w:p w14:paraId="15B6843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9.若贵方需要，我方愿意提供我方作出的一切承诺的证明材料。</w:t>
      </w:r>
    </w:p>
    <w:p w14:paraId="20D9EF6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987F02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(1)提供虚假材料谋取中标、成交的；</w:t>
      </w:r>
    </w:p>
    <w:p w14:paraId="7D2C44D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(2)采取不正当手段诋毁、排挤其他供应商的；</w:t>
      </w:r>
    </w:p>
    <w:p w14:paraId="55E688B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(3)与采购人、其他供应商或者采购代理机构恶意串通的；</w:t>
      </w:r>
    </w:p>
    <w:p w14:paraId="619A762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(4)向采购人、采购代理机构行贿或者提供其他不正当利益的；</w:t>
      </w:r>
    </w:p>
    <w:p w14:paraId="2F563F0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(5)在招标采购过程中与采购人进行协商谈判的；</w:t>
      </w:r>
    </w:p>
    <w:p w14:paraId="2A3A9A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(6)拒绝有关部门监督检查或提供虚假情况的。</w:t>
      </w:r>
    </w:p>
    <w:p w14:paraId="04413B9D">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p>
    <w:p w14:paraId="5FFC258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法定代表人或其委托代理人签字（或盖章）： 　　</w:t>
      </w:r>
    </w:p>
    <w:p w14:paraId="38D5629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供应商公章： </w:t>
      </w:r>
    </w:p>
    <w:p w14:paraId="09E7AA7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p>
    <w:p w14:paraId="1D084AA5">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p>
    <w:p w14:paraId="72EF79B7">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注：未按照本响应函的格式要求填写的，将造成非实质响应，从而导致该供应商响应无效。</w:t>
      </w:r>
      <w:bookmarkStart w:id="169" w:name="_Toc91256336"/>
      <w:bookmarkStart w:id="170" w:name="_Toc91183848"/>
    </w:p>
    <w:p w14:paraId="31BD44D7">
      <w:pPr>
        <w:keepNext/>
        <w:keepLines/>
        <w:outlineLvl w:val="1"/>
        <w:rPr>
          <w:rFonts w:ascii="Arial" w:hAnsi="Arial" w:eastAsia="黑体" w:cs="Times New Roman"/>
          <w:b/>
          <w:bCs/>
          <w:color w:val="auto"/>
          <w:sz w:val="32"/>
          <w:szCs w:val="32"/>
          <w:highlight w:val="none"/>
        </w:rPr>
      </w:pPr>
      <w:r>
        <w:rPr>
          <w:rFonts w:ascii="Arial" w:hAnsi="Arial" w:eastAsia="黑体" w:cs="Times New Roman"/>
          <w:b/>
          <w:bCs/>
          <w:color w:val="auto"/>
          <w:sz w:val="32"/>
          <w:szCs w:val="32"/>
          <w:highlight w:val="none"/>
        </w:rPr>
        <w:br w:type="page" w:clear="all"/>
      </w:r>
      <w:bookmarkStart w:id="171" w:name="_Toc19898"/>
      <w:r>
        <w:rPr>
          <w:rFonts w:ascii="Arial" w:hAnsi="Arial" w:eastAsia="黑体" w:cs="Times New Roman"/>
          <w:b/>
          <w:bCs/>
          <w:color w:val="auto"/>
          <w:sz w:val="24"/>
          <w:szCs w:val="32"/>
          <w:highlight w:val="none"/>
        </w:rPr>
        <w:t>格式</w:t>
      </w:r>
      <w:r>
        <w:rPr>
          <w:rFonts w:hint="eastAsia" w:ascii="Arial" w:hAnsi="Arial" w:eastAsia="黑体" w:cs="Times New Roman"/>
          <w:b/>
          <w:bCs/>
          <w:color w:val="auto"/>
          <w:sz w:val="24"/>
          <w:szCs w:val="32"/>
          <w:highlight w:val="none"/>
        </w:rPr>
        <w:t>2、开标一览表</w:t>
      </w:r>
      <w:bookmarkEnd w:id="171"/>
    </w:p>
    <w:p w14:paraId="1C1F9714">
      <w:pPr>
        <w:jc w:val="center"/>
        <w:rPr>
          <w:rFonts w:ascii="宋体" w:hAnsi="宋体" w:eastAsia="宋体" w:cs="Times New Roman"/>
          <w:bCs/>
          <w:color w:val="auto"/>
          <w:sz w:val="24"/>
          <w:szCs w:val="24"/>
          <w:highlight w:val="none"/>
        </w:rPr>
      </w:pPr>
      <w:r>
        <w:rPr>
          <w:rFonts w:ascii="黑体" w:hAnsi="黑体" w:eastAsia="黑体" w:cs="宋体"/>
          <w:bCs/>
          <w:color w:val="auto"/>
          <w:sz w:val="36"/>
          <w:szCs w:val="28"/>
          <w:highlight w:val="none"/>
        </w:rPr>
        <w:t>开标一览表</w:t>
      </w:r>
    </w:p>
    <w:p w14:paraId="0A53CC90">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标段编号：【标段编号】</w:t>
      </w:r>
    </w:p>
    <w:p w14:paraId="074E63E3">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标段名称：【标段名称】</w:t>
      </w:r>
    </w:p>
    <w:p w14:paraId="368F07E7">
      <w:pPr>
        <w:jc w:val="left"/>
        <w:rPr>
          <w:rFonts w:ascii="MS Mincho" w:hAnsi="Calibri" w:eastAsia="宋体" w:cs="Times New Roman"/>
          <w:color w:val="auto"/>
          <w:sz w:val="24"/>
          <w:szCs w:val="24"/>
          <w:highlight w:val="none"/>
        </w:rPr>
      </w:pP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45"/>
        <w:gridCol w:w="3796"/>
      </w:tblGrid>
      <w:tr w14:paraId="0AFD7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5145" w:type="dxa"/>
            <w:noWrap w:val="0"/>
            <w:vAlign w:val="center"/>
          </w:tcPr>
          <w:p w14:paraId="15A5E196">
            <w:pPr>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标题</w:t>
            </w:r>
          </w:p>
        </w:tc>
        <w:tc>
          <w:tcPr>
            <w:tcW w:w="3796" w:type="dxa"/>
            <w:noWrap w:val="0"/>
            <w:vAlign w:val="center"/>
          </w:tcPr>
          <w:p w14:paraId="45D4F9DD">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内容</w:t>
            </w:r>
          </w:p>
        </w:tc>
      </w:tr>
      <w:tr w14:paraId="714FF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5145" w:type="dxa"/>
            <w:noWrap w:val="0"/>
            <w:vAlign w:val="center"/>
          </w:tcPr>
          <w:p w14:paraId="3D756757">
            <w:pPr>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投标</w:t>
            </w:r>
            <w:r>
              <w:rPr>
                <w:rFonts w:hint="eastAsia" w:ascii="宋体" w:hAnsi="宋体" w:cs="Times New Roman"/>
                <w:bCs/>
                <w:color w:val="auto"/>
                <w:sz w:val="28"/>
                <w:szCs w:val="28"/>
                <w:highlight w:val="none"/>
                <w:lang w:val="en-US" w:eastAsia="zh-CN"/>
              </w:rPr>
              <w:t>总</w:t>
            </w:r>
            <w:r>
              <w:rPr>
                <w:rFonts w:ascii="宋体" w:hAnsi="宋体" w:eastAsia="宋体" w:cs="Times New Roman"/>
                <w:bCs/>
                <w:color w:val="auto"/>
                <w:sz w:val="28"/>
                <w:szCs w:val="28"/>
                <w:highlight w:val="none"/>
              </w:rPr>
              <w:t>价</w:t>
            </w:r>
          </w:p>
        </w:tc>
        <w:tc>
          <w:tcPr>
            <w:tcW w:w="3796" w:type="dxa"/>
            <w:noWrap w:val="0"/>
            <w:vAlign w:val="center"/>
          </w:tcPr>
          <w:p w14:paraId="2039227D">
            <w:pPr>
              <w:jc w:val="center"/>
              <w:rPr>
                <w:rFonts w:ascii="宋体" w:hAnsi="宋体" w:eastAsia="宋体" w:cs="Times New Roman"/>
                <w:color w:val="auto"/>
                <w:sz w:val="28"/>
                <w:szCs w:val="28"/>
                <w:highlight w:val="none"/>
              </w:rPr>
            </w:pPr>
            <w:r>
              <w:rPr>
                <w:rFonts w:hint="eastAsia" w:ascii="宋体" w:hAnsi="宋体" w:cs="宋体"/>
                <w:color w:val="auto"/>
                <w:sz w:val="24"/>
                <w:szCs w:val="22"/>
                <w:highlight w:val="none"/>
                <w:lang w:val="en-US" w:eastAsia="zh-CN"/>
              </w:rPr>
              <w:t xml:space="preserve"> </w:t>
            </w:r>
          </w:p>
        </w:tc>
      </w:tr>
      <w:tr w14:paraId="2D334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5145" w:type="dxa"/>
            <w:noWrap w:val="0"/>
            <w:vAlign w:val="center"/>
          </w:tcPr>
          <w:p w14:paraId="61759D38">
            <w:pPr>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服务期限</w:t>
            </w:r>
          </w:p>
        </w:tc>
        <w:tc>
          <w:tcPr>
            <w:tcW w:w="3796" w:type="dxa"/>
            <w:noWrap w:val="0"/>
            <w:vAlign w:val="center"/>
          </w:tcPr>
          <w:p w14:paraId="4734C4BA">
            <w:pPr>
              <w:jc w:val="center"/>
              <w:rPr>
                <w:rFonts w:ascii="宋体" w:hAnsi="宋体" w:eastAsia="宋体" w:cs="Times New Roman"/>
                <w:color w:val="auto"/>
                <w:sz w:val="28"/>
                <w:szCs w:val="28"/>
                <w:highlight w:val="none"/>
                <w:lang w:val="en-US" w:eastAsia="zh-CN"/>
              </w:rPr>
            </w:pPr>
            <w:r>
              <w:rPr>
                <w:rFonts w:hint="eastAsia" w:ascii="宋体" w:hAnsi="宋体" w:cs="Times New Roman"/>
                <w:color w:val="auto"/>
                <w:sz w:val="28"/>
                <w:szCs w:val="28"/>
                <w:highlight w:val="none"/>
                <w:lang w:val="en-US" w:eastAsia="zh-CN"/>
              </w:rPr>
              <w:t xml:space="preserve"> </w:t>
            </w:r>
          </w:p>
        </w:tc>
      </w:tr>
    </w:tbl>
    <w:p w14:paraId="6211D242">
      <w:pPr>
        <w:spacing w:line="360" w:lineRule="auto"/>
        <w:ind w:firstLine="480"/>
        <w:jc w:val="left"/>
        <w:rPr>
          <w:rFonts w:ascii="宋体" w:hAnsi="宋体" w:eastAsia="宋体" w:cs="Times New Roman"/>
          <w:bCs/>
          <w:color w:val="auto"/>
          <w:sz w:val="24"/>
          <w:szCs w:val="24"/>
          <w:highlight w:val="none"/>
        </w:rPr>
      </w:pPr>
    </w:p>
    <w:p w14:paraId="76511E83">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投标人（盖章）：</w:t>
      </w:r>
    </w:p>
    <w:p w14:paraId="1DAAB3A0">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法定代表人或委托代理人（签字或盖章）：</w:t>
      </w:r>
    </w:p>
    <w:p w14:paraId="3E2D33E5">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    年     月     日</w:t>
      </w:r>
    </w:p>
    <w:p w14:paraId="3858C6F4">
      <w:pPr>
        <w:spacing w:line="360" w:lineRule="auto"/>
        <w:ind w:firstLine="480"/>
        <w:rPr>
          <w:rFonts w:ascii="宋体" w:hAnsi="宋体" w:eastAsia="宋体" w:cs="Times New Roman"/>
          <w:bCs/>
          <w:color w:val="auto"/>
          <w:sz w:val="24"/>
          <w:szCs w:val="24"/>
          <w:highlight w:val="none"/>
        </w:rPr>
      </w:pPr>
    </w:p>
    <w:p w14:paraId="68912926">
      <w:pPr>
        <w:keepNext/>
        <w:keepLines/>
        <w:outlineLvl w:val="1"/>
        <w:rPr>
          <w:rFonts w:ascii="宋体" w:hAnsi="宋体" w:eastAsia="黑体" w:cs="Times New Roman"/>
          <w:bCs/>
          <w:color w:val="auto"/>
          <w:sz w:val="32"/>
          <w:szCs w:val="21"/>
          <w:highlight w:val="none"/>
        </w:rPr>
      </w:pPr>
      <w:r>
        <w:rPr>
          <w:rFonts w:ascii="宋体" w:hAnsi="宋体" w:eastAsia="黑体" w:cs="Times New Roman"/>
          <w:b/>
          <w:color w:val="auto"/>
          <w:sz w:val="24"/>
          <w:szCs w:val="32"/>
          <w:highlight w:val="none"/>
        </w:rPr>
        <w:br w:type="page" w:clear="all"/>
      </w:r>
      <w:bookmarkStart w:id="172" w:name="_Toc3399"/>
      <w:r>
        <w:rPr>
          <w:rFonts w:ascii="Arial" w:hAnsi="Arial" w:eastAsia="黑体" w:cs="Times New Roman"/>
          <w:b/>
          <w:bCs/>
          <w:color w:val="auto"/>
          <w:sz w:val="24"/>
          <w:szCs w:val="32"/>
          <w:highlight w:val="none"/>
        </w:rPr>
        <w:t>格式</w:t>
      </w:r>
      <w:r>
        <w:rPr>
          <w:rFonts w:hint="eastAsia" w:ascii="Arial" w:hAnsi="Arial" w:eastAsia="黑体" w:cs="Times New Roman"/>
          <w:b/>
          <w:bCs/>
          <w:color w:val="auto"/>
          <w:sz w:val="24"/>
          <w:szCs w:val="32"/>
          <w:highlight w:val="none"/>
        </w:rPr>
        <w:t>3、详细报价书</w:t>
      </w:r>
      <w:bookmarkEnd w:id="172"/>
    </w:p>
    <w:p w14:paraId="17B5D09E">
      <w:pPr>
        <w:spacing w:line="400" w:lineRule="exact"/>
        <w:jc w:val="center"/>
        <w:rPr>
          <w:rFonts w:ascii="宋体" w:hAnsi="宋体" w:eastAsia="宋体" w:cs="Times New Roman"/>
          <w:b/>
          <w:color w:val="auto"/>
          <w:sz w:val="28"/>
          <w:szCs w:val="30"/>
          <w:highlight w:val="none"/>
        </w:rPr>
      </w:pPr>
    </w:p>
    <w:p w14:paraId="7D119D7E">
      <w:pPr>
        <w:pStyle w:val="37"/>
        <w:spacing w:line="256" w:lineRule="auto"/>
        <w:rPr>
          <w:rFonts w:ascii="Times New Roman" w:hAnsi="Times New Roman" w:cs="Times New Roman"/>
          <w:color w:val="auto"/>
          <w:highlight w:val="none"/>
        </w:rPr>
      </w:pPr>
    </w:p>
    <w:p w14:paraId="1A55650B">
      <w:pPr>
        <w:keepNext/>
        <w:keepLines w:val="0"/>
        <w:pageBreakBefore w:val="0"/>
        <w:widowControl/>
        <w:suppressLineNumbers w:val="0"/>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auto"/>
          <w:sz w:val="36"/>
          <w:szCs w:val="36"/>
          <w:highlight w:val="none"/>
          <w:lang w:val="en-US" w:eastAsia="zh-CN"/>
        </w:rPr>
        <w:t>报价</w:t>
      </w:r>
      <w:r>
        <w:rPr>
          <w:rFonts w:hint="eastAsia" w:ascii="宋体" w:hAnsi="宋体" w:cs="宋体"/>
          <w:b/>
          <w:bCs w:val="0"/>
          <w:color w:val="auto"/>
          <w:sz w:val="36"/>
          <w:szCs w:val="36"/>
          <w:highlight w:val="none"/>
          <w:lang w:val="en-US" w:eastAsia="zh-CN"/>
        </w:rPr>
        <w:t>明细</w:t>
      </w:r>
      <w:r>
        <w:rPr>
          <w:rFonts w:hint="eastAsia" w:ascii="宋体" w:hAnsi="宋体" w:eastAsia="宋体" w:cs="宋体"/>
          <w:b/>
          <w:bCs w:val="0"/>
          <w:color w:val="auto"/>
          <w:sz w:val="36"/>
          <w:szCs w:val="36"/>
          <w:highlight w:val="none"/>
          <w:lang w:val="en-US" w:eastAsia="zh-CN"/>
        </w:rPr>
        <w:t>表</w:t>
      </w:r>
    </w:p>
    <w:p w14:paraId="46409287">
      <w:pPr>
        <w:keepNext/>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p>
    <w:p w14:paraId="31DC381E">
      <w:pPr>
        <w:pStyle w:val="218"/>
        <w:keepNext/>
        <w:keepLines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名称：</w:t>
      </w:r>
    </w:p>
    <w:p w14:paraId="13C71720">
      <w:pPr>
        <w:pStyle w:val="225"/>
        <w:keepNext/>
        <w:keepLines w:val="0"/>
        <w:pageBreakBefore w:val="0"/>
        <w:widowControl/>
        <w:spacing w:line="360" w:lineRule="auto"/>
        <w:ind w:right="0"/>
        <w:outlineLvl w:val="9"/>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单位：人民币元</w:t>
      </w:r>
    </w:p>
    <w:tbl>
      <w:tblPr>
        <w:tblStyle w:val="31"/>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9"/>
        <w:gridCol w:w="3550"/>
        <w:gridCol w:w="985"/>
        <w:gridCol w:w="941"/>
        <w:gridCol w:w="1321"/>
        <w:gridCol w:w="1239"/>
      </w:tblGrid>
      <w:tr w14:paraId="719A3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67" w:hRule="atLeast"/>
          <w:jc w:val="center"/>
        </w:trPr>
        <w:tc>
          <w:tcPr>
            <w:tcW w:w="591" w:type="pct"/>
            <w:vAlign w:val="center"/>
          </w:tcPr>
          <w:p w14:paraId="5AB9A136">
            <w:pPr>
              <w:keepNext w:val="0"/>
              <w:keepLines w:val="0"/>
              <w:pageBreakBefore w:val="0"/>
              <w:suppressLineNumbers w:val="0"/>
              <w:wordWrap/>
              <w:overflowPunct/>
              <w:topLinePunct w:val="0"/>
              <w:bidi w:val="0"/>
              <w:spacing w:before="0" w:beforeAutospacing="0" w:after="0" w:afterAutospacing="0" w:line="240" w:lineRule="exact"/>
              <w:ind w:right="176" w:rightChars="84"/>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947" w:type="pct"/>
            <w:vAlign w:val="center"/>
          </w:tcPr>
          <w:p w14:paraId="14B0A256">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    目</w:t>
            </w:r>
          </w:p>
        </w:tc>
        <w:tc>
          <w:tcPr>
            <w:tcW w:w="540" w:type="pct"/>
            <w:vAlign w:val="center"/>
          </w:tcPr>
          <w:p w14:paraId="4007FE41">
            <w:pPr>
              <w:keepNext w:val="0"/>
              <w:keepLines w:val="0"/>
              <w:pageBreakBefore w:val="0"/>
              <w:suppressLineNumbers w:val="0"/>
              <w:wordWrap/>
              <w:overflowPunct/>
              <w:topLinePunct w:val="0"/>
              <w:bidi w:val="0"/>
              <w:spacing w:before="0" w:beforeAutospacing="0" w:after="0" w:afterAutospacing="0" w:line="240" w:lineRule="exact"/>
              <w:ind w:right="176" w:rightChars="84"/>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516" w:type="pct"/>
            <w:vAlign w:val="center"/>
          </w:tcPr>
          <w:p w14:paraId="79B0CA56">
            <w:pPr>
              <w:keepNext w:val="0"/>
              <w:keepLines w:val="0"/>
              <w:pageBreakBefore w:val="0"/>
              <w:suppressLineNumbers w:val="0"/>
              <w:wordWrap/>
              <w:overflowPunct/>
              <w:topLinePunct w:val="0"/>
              <w:bidi w:val="0"/>
              <w:spacing w:before="0" w:beforeAutospacing="0" w:after="0" w:afterAutospacing="0" w:line="240" w:lineRule="exact"/>
              <w:ind w:right="176" w:rightChars="84"/>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 量</w:t>
            </w:r>
          </w:p>
        </w:tc>
        <w:tc>
          <w:tcPr>
            <w:tcW w:w="724" w:type="pct"/>
            <w:vAlign w:val="center"/>
          </w:tcPr>
          <w:p w14:paraId="1C3753E2">
            <w:pPr>
              <w:keepNext w:val="0"/>
              <w:keepLines w:val="0"/>
              <w:pageBreakBefore w:val="0"/>
              <w:suppressLineNumbers w:val="0"/>
              <w:wordWrap/>
              <w:overflowPunct/>
              <w:topLinePunct w:val="0"/>
              <w:bidi w:val="0"/>
              <w:spacing w:before="0" w:beforeAutospacing="0" w:after="0" w:afterAutospacing="0" w:line="240" w:lineRule="exact"/>
              <w:ind w:right="176" w:rightChars="84"/>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单价</w:t>
            </w:r>
            <w:r>
              <w:rPr>
                <w:rFonts w:hint="eastAsia" w:ascii="宋体" w:hAnsi="宋体" w:eastAsia="宋体" w:cs="宋体"/>
                <w:color w:val="auto"/>
                <w:szCs w:val="21"/>
                <w:highlight w:val="none"/>
                <w:lang w:val="en-US" w:eastAsia="zh-CN"/>
              </w:rPr>
              <w:t xml:space="preserve"> </w:t>
            </w:r>
          </w:p>
        </w:tc>
        <w:tc>
          <w:tcPr>
            <w:tcW w:w="680" w:type="pct"/>
            <w:vAlign w:val="center"/>
          </w:tcPr>
          <w:p w14:paraId="0AD60AE5">
            <w:pPr>
              <w:keepNext w:val="0"/>
              <w:keepLines w:val="0"/>
              <w:pageBreakBefore w:val="0"/>
              <w:suppressLineNumbers w:val="0"/>
              <w:wordWrap/>
              <w:overflowPunct/>
              <w:topLinePunct w:val="0"/>
              <w:bidi w:val="0"/>
              <w:spacing w:before="0" w:beforeAutospacing="0" w:after="0" w:afterAutospacing="0" w:line="240" w:lineRule="exact"/>
              <w:ind w:right="176" w:rightChars="84"/>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合 价</w:t>
            </w:r>
            <w:r>
              <w:rPr>
                <w:rFonts w:hint="eastAsia" w:ascii="宋体" w:hAnsi="宋体" w:eastAsia="宋体" w:cs="宋体"/>
                <w:color w:val="auto"/>
                <w:szCs w:val="21"/>
                <w:highlight w:val="none"/>
                <w:lang w:val="en-US" w:eastAsia="zh-CN"/>
              </w:rPr>
              <w:t xml:space="preserve"> </w:t>
            </w:r>
          </w:p>
        </w:tc>
      </w:tr>
      <w:tr w14:paraId="03890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7" w:hRule="atLeast"/>
          <w:jc w:val="center"/>
        </w:trPr>
        <w:tc>
          <w:tcPr>
            <w:tcW w:w="591" w:type="pct"/>
            <w:vAlign w:val="center"/>
          </w:tcPr>
          <w:p w14:paraId="68DA785F">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1947" w:type="pct"/>
            <w:vAlign w:val="center"/>
          </w:tcPr>
          <w:p w14:paraId="446F3040">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 </w:t>
            </w:r>
          </w:p>
        </w:tc>
        <w:tc>
          <w:tcPr>
            <w:tcW w:w="540" w:type="pct"/>
            <w:vAlign w:val="center"/>
          </w:tcPr>
          <w:p w14:paraId="4D6F4AB1">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p>
        </w:tc>
        <w:tc>
          <w:tcPr>
            <w:tcW w:w="516" w:type="pct"/>
            <w:vAlign w:val="center"/>
          </w:tcPr>
          <w:p w14:paraId="1845A8A0">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p>
        </w:tc>
        <w:tc>
          <w:tcPr>
            <w:tcW w:w="724" w:type="pct"/>
            <w:vAlign w:val="center"/>
          </w:tcPr>
          <w:p w14:paraId="238D4A7F">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c>
          <w:tcPr>
            <w:tcW w:w="680" w:type="pct"/>
            <w:vAlign w:val="center"/>
          </w:tcPr>
          <w:p w14:paraId="274CD620">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r>
      <w:tr w14:paraId="6554A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7" w:hRule="atLeast"/>
          <w:jc w:val="center"/>
        </w:trPr>
        <w:tc>
          <w:tcPr>
            <w:tcW w:w="591" w:type="pct"/>
            <w:vAlign w:val="center"/>
          </w:tcPr>
          <w:p w14:paraId="08D2063B">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w:t>
            </w:r>
          </w:p>
        </w:tc>
        <w:tc>
          <w:tcPr>
            <w:tcW w:w="1947" w:type="pct"/>
            <w:vAlign w:val="center"/>
          </w:tcPr>
          <w:p w14:paraId="63E69847">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bCs/>
                <w:color w:val="auto"/>
                <w:szCs w:val="21"/>
                <w:highlight w:val="none"/>
              </w:rPr>
            </w:pPr>
          </w:p>
        </w:tc>
        <w:tc>
          <w:tcPr>
            <w:tcW w:w="540" w:type="pct"/>
            <w:vAlign w:val="center"/>
          </w:tcPr>
          <w:p w14:paraId="772AE6E8">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p>
        </w:tc>
        <w:tc>
          <w:tcPr>
            <w:tcW w:w="516" w:type="pct"/>
            <w:vAlign w:val="center"/>
          </w:tcPr>
          <w:p w14:paraId="538CF434">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p>
        </w:tc>
        <w:tc>
          <w:tcPr>
            <w:tcW w:w="724" w:type="pct"/>
            <w:vAlign w:val="center"/>
          </w:tcPr>
          <w:p w14:paraId="1F79B0EA">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c>
          <w:tcPr>
            <w:tcW w:w="680" w:type="pct"/>
            <w:vAlign w:val="center"/>
          </w:tcPr>
          <w:p w14:paraId="5024822A">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r>
      <w:tr w14:paraId="5B2EF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7" w:hRule="atLeast"/>
          <w:jc w:val="center"/>
        </w:trPr>
        <w:tc>
          <w:tcPr>
            <w:tcW w:w="591" w:type="pct"/>
            <w:vAlign w:val="center"/>
          </w:tcPr>
          <w:p w14:paraId="2F8D999E">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w:t>
            </w:r>
          </w:p>
        </w:tc>
        <w:tc>
          <w:tcPr>
            <w:tcW w:w="1947" w:type="pct"/>
            <w:vAlign w:val="center"/>
          </w:tcPr>
          <w:p w14:paraId="1598C37E">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bCs/>
                <w:color w:val="auto"/>
                <w:szCs w:val="21"/>
                <w:highlight w:val="none"/>
              </w:rPr>
            </w:pPr>
          </w:p>
        </w:tc>
        <w:tc>
          <w:tcPr>
            <w:tcW w:w="540" w:type="pct"/>
            <w:vAlign w:val="center"/>
          </w:tcPr>
          <w:p w14:paraId="350353B4">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p>
        </w:tc>
        <w:tc>
          <w:tcPr>
            <w:tcW w:w="516" w:type="pct"/>
            <w:vAlign w:val="center"/>
          </w:tcPr>
          <w:p w14:paraId="1307B711">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rPr>
                <w:rFonts w:hint="eastAsia" w:ascii="宋体" w:hAnsi="宋体" w:eastAsia="宋体" w:cs="宋体"/>
                <w:b/>
                <w:color w:val="auto"/>
                <w:szCs w:val="21"/>
                <w:highlight w:val="none"/>
              </w:rPr>
            </w:pPr>
          </w:p>
        </w:tc>
        <w:tc>
          <w:tcPr>
            <w:tcW w:w="724" w:type="pct"/>
            <w:vAlign w:val="center"/>
          </w:tcPr>
          <w:p w14:paraId="09E290AF">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c>
          <w:tcPr>
            <w:tcW w:w="680" w:type="pct"/>
            <w:vAlign w:val="center"/>
          </w:tcPr>
          <w:p w14:paraId="4AA864A3">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r>
      <w:tr w14:paraId="57F24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8" w:hRule="atLeast"/>
          <w:jc w:val="center"/>
        </w:trPr>
        <w:tc>
          <w:tcPr>
            <w:tcW w:w="4319" w:type="pct"/>
            <w:gridSpan w:val="5"/>
            <w:vAlign w:val="center"/>
          </w:tcPr>
          <w:p w14:paraId="3D99AC8E">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4" w:firstLineChars="73"/>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合计</w:t>
            </w:r>
          </w:p>
        </w:tc>
        <w:tc>
          <w:tcPr>
            <w:tcW w:w="680" w:type="pct"/>
            <w:vAlign w:val="center"/>
          </w:tcPr>
          <w:p w14:paraId="2D7B5A3C">
            <w:pPr>
              <w:keepNext w:val="0"/>
              <w:keepLines w:val="0"/>
              <w:pageBreakBefore w:val="0"/>
              <w:suppressLineNumbers w:val="0"/>
              <w:wordWrap/>
              <w:overflowPunct/>
              <w:topLinePunct w:val="0"/>
              <w:bidi w:val="0"/>
              <w:spacing w:before="0" w:beforeAutospacing="0" w:after="0" w:afterAutospacing="0" w:line="240" w:lineRule="exact"/>
              <w:ind w:left="218" w:leftChars="104" w:right="176" w:rightChars="84" w:firstLine="153" w:firstLineChars="73"/>
              <w:jc w:val="center"/>
              <w:rPr>
                <w:rFonts w:hint="eastAsia" w:ascii="宋体" w:hAnsi="宋体" w:eastAsia="宋体" w:cs="宋体"/>
                <w:color w:val="auto"/>
                <w:szCs w:val="21"/>
                <w:highlight w:val="none"/>
              </w:rPr>
            </w:pPr>
          </w:p>
        </w:tc>
      </w:tr>
    </w:tbl>
    <w:p w14:paraId="4C565965">
      <w:pPr>
        <w:pStyle w:val="225"/>
        <w:keepNext/>
        <w:keepLines w:val="0"/>
        <w:pageBreakBefore w:val="0"/>
        <w:widowControl/>
        <w:spacing w:line="360" w:lineRule="auto"/>
        <w:ind w:right="0"/>
        <w:outlineLvl w:val="9"/>
        <w:rPr>
          <w:rFonts w:hint="eastAsia" w:ascii="宋体" w:hAnsi="宋体" w:cs="宋体"/>
          <w:bCs/>
          <w:color w:val="auto"/>
          <w:sz w:val="24"/>
          <w:szCs w:val="24"/>
          <w:highlight w:val="none"/>
          <w:lang w:val="en-US" w:eastAsia="zh-CN"/>
        </w:rPr>
      </w:pPr>
    </w:p>
    <w:p w14:paraId="36CBB0F3">
      <w:pPr>
        <w:keepNext/>
        <w:keepLines w:val="0"/>
        <w:pageBreakBefore w:val="0"/>
        <w:widowControl/>
        <w:spacing w:line="360" w:lineRule="auto"/>
        <w:jc w:val="left"/>
        <w:rPr>
          <w:rFonts w:ascii="宋体" w:hAnsi="宋体"/>
          <w:bCs/>
          <w:color w:val="auto"/>
          <w:sz w:val="24"/>
          <w:szCs w:val="24"/>
          <w:highlight w:val="none"/>
        </w:rPr>
      </w:pPr>
    </w:p>
    <w:p w14:paraId="206EBC90">
      <w:pPr>
        <w:keepNext/>
        <w:keepLines w:val="0"/>
        <w:pageBreakBefore w:val="0"/>
        <w:widowControl/>
        <w:spacing w:line="360" w:lineRule="auto"/>
        <w:ind w:firstLine="4560"/>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加盖</w:t>
      </w:r>
      <w:r>
        <w:rPr>
          <w:rFonts w:ascii="Times New Roman" w:hAnsi="Times New Roman" w:cs="Times New Roman"/>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u w:val="single"/>
          <w:lang w:val="en-US" w:eastAsia="zh-CN"/>
        </w:rPr>
        <w:t xml:space="preserve">     </w:t>
      </w:r>
    </w:p>
    <w:p w14:paraId="54CD2CC5">
      <w:pPr>
        <w:keepNext/>
        <w:keepLines w:val="0"/>
        <w:pageBreakBefore w:val="0"/>
        <w:widowControl/>
        <w:spacing w:line="360" w:lineRule="auto"/>
        <w:ind w:firstLine="50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1C5C2D0E">
      <w:pPr>
        <w:rPr>
          <w:rFonts w:ascii="Times New Roman" w:hAnsi="Times New Roman" w:cs="Times New Roman"/>
          <w:color w:val="auto"/>
          <w:highlight w:val="none"/>
        </w:rPr>
      </w:pPr>
    </w:p>
    <w:p w14:paraId="043FD223">
      <w:pPr>
        <w:spacing w:before="65" w:line="227" w:lineRule="auto"/>
        <w:ind w:left="233"/>
        <w:rPr>
          <w:rFonts w:ascii="宋体" w:hAnsi="宋体" w:eastAsia="宋体" w:cs="宋体"/>
          <w:color w:val="auto"/>
          <w:sz w:val="28"/>
          <w:szCs w:val="28"/>
          <w:highlight w:val="none"/>
        </w:rPr>
      </w:pPr>
      <w:bookmarkStart w:id="173" w:name="bookmark31"/>
      <w:bookmarkEnd w:id="173"/>
      <w:r>
        <w:rPr>
          <w:rFonts w:ascii="宋体" w:hAnsi="宋体" w:eastAsia="宋体" w:cs="宋体"/>
          <w:color w:val="auto"/>
          <w:spacing w:val="8"/>
          <w:sz w:val="28"/>
          <w:szCs w:val="28"/>
          <w:highlight w:val="none"/>
        </w:rPr>
        <w:t>投标人名称（公章</w:t>
      </w:r>
      <w:r>
        <w:rPr>
          <w:rFonts w:ascii="宋体" w:hAnsi="宋体" w:eastAsia="宋体" w:cs="宋体"/>
          <w:color w:val="auto"/>
          <w:spacing w:val="1"/>
          <w:sz w:val="28"/>
          <w:szCs w:val="28"/>
          <w:highlight w:val="none"/>
        </w:rPr>
        <w:t>）：</w:t>
      </w:r>
    </w:p>
    <w:p w14:paraId="6A61B5DD">
      <w:pPr>
        <w:spacing w:before="114" w:line="227" w:lineRule="auto"/>
        <w:ind w:left="231"/>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rPr>
        <w:t>法定代表人或代理人（签字或盖章</w:t>
      </w:r>
      <w:r>
        <w:rPr>
          <w:rFonts w:ascii="宋体" w:hAnsi="宋体" w:eastAsia="宋体" w:cs="宋体"/>
          <w:color w:val="auto"/>
          <w:spacing w:val="1"/>
          <w:sz w:val="28"/>
          <w:szCs w:val="28"/>
          <w:highlight w:val="none"/>
        </w:rPr>
        <w:t>）：</w:t>
      </w:r>
    </w:p>
    <w:p w14:paraId="13F7B948">
      <w:pPr>
        <w:spacing w:before="114" w:line="228" w:lineRule="auto"/>
        <w:ind w:left="266"/>
        <w:rPr>
          <w:rFonts w:ascii="宋体" w:hAnsi="宋体" w:eastAsia="宋体" w:cs="宋体"/>
          <w:color w:val="auto"/>
          <w:sz w:val="28"/>
          <w:szCs w:val="28"/>
          <w:highlight w:val="none"/>
        </w:rPr>
      </w:pPr>
      <w:r>
        <w:rPr>
          <w:rFonts w:ascii="宋体" w:hAnsi="宋体" w:eastAsia="宋体" w:cs="宋体"/>
          <w:color w:val="auto"/>
          <w:spacing w:val="-6"/>
          <w:sz w:val="28"/>
          <w:szCs w:val="28"/>
          <w:highlight w:val="none"/>
        </w:rPr>
        <w:t>日期：</w:t>
      </w:r>
      <w:r>
        <w:rPr>
          <w:rFonts w:ascii="宋体" w:hAnsi="宋体" w:eastAsia="宋体" w:cs="宋体"/>
          <w:color w:val="auto"/>
          <w:spacing w:val="9"/>
          <w:sz w:val="28"/>
          <w:szCs w:val="28"/>
          <w:highlight w:val="none"/>
        </w:rPr>
        <w:t xml:space="preserve">      </w:t>
      </w:r>
      <w:r>
        <w:rPr>
          <w:rFonts w:ascii="宋体" w:hAnsi="宋体" w:eastAsia="宋体" w:cs="宋体"/>
          <w:color w:val="auto"/>
          <w:spacing w:val="-6"/>
          <w:sz w:val="28"/>
          <w:szCs w:val="28"/>
          <w:highlight w:val="none"/>
        </w:rPr>
        <w:t>年</w:t>
      </w:r>
      <w:r>
        <w:rPr>
          <w:rFonts w:ascii="宋体" w:hAnsi="宋体" w:eastAsia="宋体" w:cs="宋体"/>
          <w:color w:val="auto"/>
          <w:spacing w:val="12"/>
          <w:sz w:val="28"/>
          <w:szCs w:val="28"/>
          <w:highlight w:val="none"/>
        </w:rPr>
        <w:t xml:space="preserve">  </w:t>
      </w:r>
      <w:r>
        <w:rPr>
          <w:rFonts w:ascii="宋体" w:hAnsi="宋体" w:eastAsia="宋体" w:cs="宋体"/>
          <w:color w:val="auto"/>
          <w:spacing w:val="-6"/>
          <w:sz w:val="28"/>
          <w:szCs w:val="28"/>
          <w:highlight w:val="none"/>
        </w:rPr>
        <w:t>月</w:t>
      </w:r>
      <w:r>
        <w:rPr>
          <w:rFonts w:ascii="宋体" w:hAnsi="宋体" w:eastAsia="宋体" w:cs="宋体"/>
          <w:color w:val="auto"/>
          <w:spacing w:val="20"/>
          <w:sz w:val="28"/>
          <w:szCs w:val="28"/>
          <w:highlight w:val="none"/>
        </w:rPr>
        <w:t xml:space="preserve">   </w:t>
      </w:r>
      <w:r>
        <w:rPr>
          <w:rFonts w:ascii="宋体" w:hAnsi="宋体" w:eastAsia="宋体" w:cs="宋体"/>
          <w:color w:val="auto"/>
          <w:spacing w:val="-6"/>
          <w:sz w:val="28"/>
          <w:szCs w:val="28"/>
          <w:highlight w:val="none"/>
        </w:rPr>
        <w:t>日</w:t>
      </w:r>
    </w:p>
    <w:p w14:paraId="7A0255B5">
      <w:pPr>
        <w:spacing w:line="228" w:lineRule="auto"/>
        <w:rPr>
          <w:rFonts w:ascii="宋体" w:hAnsi="宋体" w:cs="宋体"/>
          <w:color w:val="auto"/>
          <w:sz w:val="28"/>
          <w:szCs w:val="28"/>
          <w:highlight w:val="none"/>
        </w:rPr>
        <w:sectPr>
          <w:footerReference r:id="rId9" w:type="default"/>
          <w:pgSz w:w="11906" w:h="16839"/>
          <w:pgMar w:top="1252" w:right="1301" w:bottom="1362" w:left="1785" w:header="851" w:footer="1200" w:gutter="0"/>
          <w:pgNumType w:fmt="decimal"/>
          <w:cols w:space="1701" w:num="1"/>
          <w:docGrid w:linePitch="360" w:charSpace="0"/>
        </w:sectPr>
      </w:pPr>
    </w:p>
    <w:bookmarkEnd w:id="169"/>
    <w:bookmarkEnd w:id="170"/>
    <w:p w14:paraId="7F58FADD">
      <w:pPr>
        <w:keepNext/>
        <w:keepLines/>
        <w:outlineLvl w:val="1"/>
        <w:rPr>
          <w:rFonts w:ascii="Arial" w:hAnsi="Arial" w:eastAsia="黑体" w:cs="Times New Roman"/>
          <w:b/>
          <w:bCs/>
          <w:color w:val="auto"/>
          <w:sz w:val="24"/>
          <w:szCs w:val="32"/>
          <w:highlight w:val="none"/>
        </w:rPr>
      </w:pPr>
      <w:bookmarkStart w:id="174" w:name="_Toc3953"/>
      <w:r>
        <w:rPr>
          <w:rFonts w:ascii="Arial" w:hAnsi="Arial" w:eastAsia="黑体" w:cs="Times New Roman"/>
          <w:b/>
          <w:bCs/>
          <w:color w:val="auto"/>
          <w:sz w:val="24"/>
          <w:szCs w:val="32"/>
          <w:highlight w:val="none"/>
        </w:rPr>
        <w:t>格式</w:t>
      </w:r>
      <w:r>
        <w:rPr>
          <w:rFonts w:hint="eastAsia" w:ascii="Arial" w:hAnsi="Arial" w:eastAsia="黑体" w:cs="Times New Roman"/>
          <w:b/>
          <w:bCs/>
          <w:color w:val="auto"/>
          <w:sz w:val="24"/>
          <w:szCs w:val="32"/>
          <w:highlight w:val="none"/>
        </w:rPr>
        <w:t>4、具备履行合同所必需的设备和专业技术能力的声明及证明材料</w:t>
      </w:r>
      <w:bookmarkEnd w:id="174"/>
    </w:p>
    <w:p w14:paraId="21CD576B">
      <w:pPr>
        <w:rPr>
          <w:rFonts w:ascii="Times New Roman" w:hAnsi="Times New Roman" w:eastAsia="宋体" w:cs="Times New Roman"/>
          <w:color w:val="auto"/>
          <w:szCs w:val="24"/>
          <w:highlight w:val="none"/>
        </w:rPr>
      </w:pPr>
    </w:p>
    <w:p w14:paraId="47B2A9D8">
      <w:pPr>
        <w:jc w:val="center"/>
        <w:rPr>
          <w:rFonts w:ascii="Times New Roman" w:hAnsi="Times New Roman" w:eastAsia="宋体" w:cs="Times New Roman"/>
          <w:color w:val="auto"/>
          <w:szCs w:val="24"/>
          <w:highlight w:val="none"/>
        </w:rPr>
      </w:pPr>
      <w:r>
        <w:rPr>
          <w:rFonts w:hint="eastAsia" w:ascii="黑体" w:hAnsi="黑体" w:eastAsia="黑体" w:cs="宋体"/>
          <w:bCs/>
          <w:color w:val="auto"/>
          <w:sz w:val="36"/>
          <w:szCs w:val="28"/>
          <w:highlight w:val="none"/>
        </w:rPr>
        <w:t>具备履行合同所必需的设备和专业技术能力的声明</w:t>
      </w:r>
    </w:p>
    <w:p w14:paraId="186ACB1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3948E84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w:t>
      </w:r>
    </w:p>
    <w:p w14:paraId="2981D7C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w:t>
      </w:r>
    </w:p>
    <w:p w14:paraId="558E723B">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110BE406">
      <w:pPr>
        <w:spacing w:line="360" w:lineRule="auto"/>
        <w:ind w:firstLine="480"/>
        <w:rPr>
          <w:rFonts w:ascii="Times New Roman" w:hAnsi="Times New Roman" w:eastAsia="宋体" w:cs="Times New Roman"/>
          <w:color w:val="auto"/>
          <w:sz w:val="24"/>
          <w:szCs w:val="24"/>
          <w:highlight w:val="none"/>
        </w:rPr>
      </w:pPr>
    </w:p>
    <w:p w14:paraId="44B2CE3F">
      <w:pPr>
        <w:spacing w:line="360" w:lineRule="auto"/>
        <w:ind w:firstLine="480"/>
        <w:rPr>
          <w:rFonts w:ascii="Times New Roman" w:hAnsi="Times New Roman" w:eastAsia="宋体" w:cs="Times New Roman"/>
          <w:color w:val="auto"/>
          <w:sz w:val="24"/>
          <w:szCs w:val="24"/>
          <w:highlight w:val="none"/>
        </w:rPr>
      </w:pPr>
    </w:p>
    <w:p w14:paraId="677A8DD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281AD0CC">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70EC09B8">
      <w:pPr>
        <w:spacing w:line="460" w:lineRule="exact"/>
        <w:ind w:firstLine="422"/>
        <w:rPr>
          <w:rFonts w:ascii="Times New Roman" w:hAnsi="Times New Roman" w:eastAsia="宋体" w:cs="Times New Roman"/>
          <w:b/>
          <w:color w:val="auto"/>
          <w:szCs w:val="24"/>
          <w:highlight w:val="none"/>
        </w:rPr>
      </w:pPr>
    </w:p>
    <w:p w14:paraId="46A0F997">
      <w:pPr>
        <w:keepNext/>
        <w:keepLines/>
        <w:outlineLvl w:val="1"/>
        <w:rPr>
          <w:rFonts w:ascii="Arial" w:hAnsi="Arial" w:eastAsia="黑体" w:cs="Times New Roman"/>
          <w:bCs/>
          <w:color w:val="auto"/>
          <w:sz w:val="32"/>
          <w:szCs w:val="32"/>
          <w:highlight w:val="none"/>
        </w:rPr>
      </w:pPr>
      <w:r>
        <w:rPr>
          <w:rFonts w:ascii="Arial" w:hAnsi="Arial" w:eastAsia="黑体" w:cs="Times New Roman"/>
          <w:bCs/>
          <w:color w:val="auto"/>
          <w:sz w:val="32"/>
          <w:szCs w:val="32"/>
          <w:highlight w:val="none"/>
        </w:rPr>
        <w:br w:type="page" w:clear="all"/>
      </w:r>
      <w:bookmarkStart w:id="175" w:name="_Toc31607"/>
      <w:r>
        <w:rPr>
          <w:rFonts w:ascii="Arial" w:hAnsi="Arial" w:eastAsia="黑体" w:cs="Times New Roman"/>
          <w:b/>
          <w:bCs/>
          <w:color w:val="auto"/>
          <w:sz w:val="24"/>
          <w:szCs w:val="32"/>
          <w:highlight w:val="none"/>
        </w:rPr>
        <w:t>格式</w:t>
      </w:r>
      <w:r>
        <w:rPr>
          <w:rFonts w:hint="eastAsia" w:ascii="Arial" w:hAnsi="Arial" w:eastAsia="黑体" w:cs="Times New Roman"/>
          <w:b/>
          <w:bCs/>
          <w:color w:val="auto"/>
          <w:sz w:val="24"/>
          <w:szCs w:val="32"/>
          <w:highlight w:val="none"/>
        </w:rPr>
        <w:t>5、参加政府采购活动前3年内在经营活动中没有重大违法记录的书面声明</w:t>
      </w:r>
      <w:bookmarkEnd w:id="175"/>
    </w:p>
    <w:p w14:paraId="0E081B9A">
      <w:pPr>
        <w:spacing w:line="460" w:lineRule="exact"/>
        <w:ind w:firstLine="422"/>
        <w:rPr>
          <w:rFonts w:ascii="Times New Roman" w:hAnsi="Times New Roman" w:eastAsia="宋体" w:cs="Times New Roman"/>
          <w:b/>
          <w:color w:val="auto"/>
          <w:szCs w:val="24"/>
          <w:highlight w:val="none"/>
        </w:rPr>
      </w:pPr>
    </w:p>
    <w:p w14:paraId="2B1610B1">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1714D30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054B2DA0">
      <w:pPr>
        <w:spacing w:line="360" w:lineRule="auto"/>
        <w:ind w:firstLine="480"/>
        <w:rPr>
          <w:rFonts w:ascii="宋体" w:hAnsi="宋体" w:eastAsia="宋体" w:cs="Times New Roman"/>
          <w:bCs/>
          <w:color w:val="auto"/>
          <w:sz w:val="24"/>
          <w:szCs w:val="24"/>
          <w:highlight w:val="none"/>
        </w:rPr>
      </w:pPr>
    </w:p>
    <w:p w14:paraId="4952BB5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投标人（盖章）：</w:t>
      </w:r>
    </w:p>
    <w:p w14:paraId="2CAFC6D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法定代表人或委托代理人（签字或盖章）：</w:t>
      </w:r>
    </w:p>
    <w:p w14:paraId="6F183ED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日期：    年     月     日</w:t>
      </w:r>
    </w:p>
    <w:p w14:paraId="07B660D1">
      <w:pPr>
        <w:keepNext/>
        <w:keepLines/>
        <w:outlineLvl w:val="1"/>
        <w:rPr>
          <w:rFonts w:ascii="Arial" w:hAnsi="Arial" w:eastAsia="宋体" w:cs="Times New Roman"/>
          <w:b/>
          <w:bCs/>
          <w:color w:val="auto"/>
          <w:sz w:val="32"/>
          <w:szCs w:val="32"/>
          <w:highlight w:val="none"/>
        </w:rPr>
      </w:pPr>
      <w:r>
        <w:rPr>
          <w:rFonts w:ascii="宋体" w:hAnsi="宋体" w:eastAsia="黑体" w:cs="Times New Roman"/>
          <w:b/>
          <w:bCs/>
          <w:color w:val="auto"/>
          <w:sz w:val="24"/>
          <w:szCs w:val="32"/>
          <w:highlight w:val="none"/>
        </w:rPr>
        <w:br w:type="page" w:clear="all"/>
      </w:r>
      <w:bookmarkStart w:id="176" w:name="_Toc13529"/>
      <w:r>
        <w:rPr>
          <w:rFonts w:hint="eastAsia" w:ascii="Arial" w:hAnsi="Arial" w:eastAsia="黑体" w:cs="Times New Roman"/>
          <w:b/>
          <w:bCs/>
          <w:color w:val="auto"/>
          <w:sz w:val="24"/>
          <w:szCs w:val="32"/>
          <w:highlight w:val="none"/>
        </w:rPr>
        <w:t>格式6、法定代表人授权委托书</w:t>
      </w:r>
      <w:bookmarkEnd w:id="176"/>
    </w:p>
    <w:p w14:paraId="4201C021">
      <w:pPr>
        <w:ind w:firstLine="720"/>
        <w:jc w:val="center"/>
        <w:rPr>
          <w:rFonts w:ascii="黑体" w:hAnsi="黑体" w:eastAsia="黑体" w:cs="宋体"/>
          <w:bCs/>
          <w:color w:val="auto"/>
          <w:sz w:val="36"/>
          <w:szCs w:val="28"/>
          <w:highlight w:val="none"/>
        </w:rPr>
      </w:pPr>
    </w:p>
    <w:p w14:paraId="151BAD05">
      <w:pPr>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2CEF8C12">
      <w:pPr>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【采购单位】：</w:t>
      </w:r>
    </w:p>
    <w:p w14:paraId="333DB7D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本授权书声明：注册于</w:t>
      </w:r>
      <w:r>
        <w:rPr>
          <w:rFonts w:hint="eastAsia" w:ascii="宋体" w:hAnsi="宋体" w:eastAsia="宋体" w:cs="Times New Roman"/>
          <w:color w:val="auto"/>
          <w:sz w:val="24"/>
          <w:szCs w:val="24"/>
          <w:highlight w:val="none"/>
          <w:u w:val="single"/>
        </w:rPr>
        <w:t xml:space="preserve">  （委托单位全称） </w:t>
      </w:r>
      <w:r>
        <w:rPr>
          <w:rFonts w:hint="eastAsia" w:ascii="宋体" w:hAnsi="宋体" w:eastAsia="宋体" w:cs="Times New Roman"/>
          <w:color w:val="auto"/>
          <w:sz w:val="24"/>
          <w:szCs w:val="24"/>
          <w:highlight w:val="none"/>
        </w:rPr>
        <w:t>的法定代表人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代表本公司授权</w:t>
      </w:r>
      <w:r>
        <w:rPr>
          <w:rFonts w:hint="eastAsia" w:ascii="宋体" w:hAnsi="宋体" w:eastAsia="宋体" w:cs="Times New Roman"/>
          <w:color w:val="auto"/>
          <w:sz w:val="24"/>
          <w:szCs w:val="24"/>
          <w:highlight w:val="none"/>
          <w:u w:val="single"/>
        </w:rPr>
        <w:t>（姓名和职务）</w:t>
      </w:r>
      <w:r>
        <w:rPr>
          <w:rFonts w:hint="eastAsia" w:ascii="宋体" w:hAnsi="宋体" w:eastAsia="宋体" w:cs="Times New Roman"/>
          <w:color w:val="auto"/>
          <w:sz w:val="24"/>
          <w:szCs w:val="24"/>
          <w:highlight w:val="none"/>
        </w:rPr>
        <w:t>为本公司合法代理人，就贵方组织的有关</w:t>
      </w:r>
      <w:r>
        <w:rPr>
          <w:rFonts w:hint="eastAsia" w:ascii="宋体" w:hAnsi="宋体" w:eastAsia="宋体" w:cs="Times New Roman"/>
          <w:color w:val="auto"/>
          <w:sz w:val="24"/>
          <w:szCs w:val="24"/>
          <w:highlight w:val="none"/>
          <w:u w:val="single"/>
        </w:rPr>
        <w:t>【标段名称】</w:t>
      </w:r>
      <w:r>
        <w:rPr>
          <w:rFonts w:hint="eastAsia" w:ascii="宋体" w:hAnsi="宋体" w:eastAsia="宋体" w:cs="Times New Roman"/>
          <w:color w:val="auto"/>
          <w:sz w:val="24"/>
          <w:szCs w:val="24"/>
          <w:highlight w:val="none"/>
        </w:rPr>
        <w:t>项目（标段编号：</w:t>
      </w:r>
      <w:r>
        <w:rPr>
          <w:rFonts w:hint="eastAsia" w:ascii="宋体" w:hAnsi="宋体" w:eastAsia="宋体" w:cs="Times New Roman"/>
          <w:color w:val="auto"/>
          <w:sz w:val="24"/>
          <w:szCs w:val="24"/>
          <w:highlight w:val="none"/>
          <w:u w:val="single"/>
        </w:rPr>
        <w:t>【标段编号】</w:t>
      </w:r>
      <w:r>
        <w:rPr>
          <w:rFonts w:hint="eastAsia" w:ascii="宋体" w:hAnsi="宋体" w:eastAsia="宋体" w:cs="Times New Roman"/>
          <w:color w:val="auto"/>
          <w:sz w:val="24"/>
          <w:szCs w:val="24"/>
          <w:highlight w:val="none"/>
        </w:rPr>
        <w:t>）的招标采购及合同签订、执行、完成，以本单位名义处理一切与之有关的事务。</w:t>
      </w:r>
    </w:p>
    <w:p w14:paraId="1DA87FA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本授权书于</w:t>
      </w:r>
      <w:r>
        <w:rPr>
          <w:rFonts w:hint="eastAsia" w:ascii="宋体" w:hAnsi="宋体" w:eastAsia="宋体" w:cs="Times New Roman"/>
          <w:color w:val="auto"/>
          <w:spacing w:val="10"/>
          <w:sz w:val="24"/>
          <w:szCs w:val="24"/>
          <w:highlight w:val="none"/>
          <w:u w:val="single"/>
        </w:rPr>
        <w:t xml:space="preserve">     </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日签字（或盖章）生效，特此声明。</w:t>
      </w:r>
    </w:p>
    <w:p w14:paraId="67DC86A4">
      <w:pPr>
        <w:spacing w:line="360" w:lineRule="auto"/>
        <w:ind w:firstLine="480"/>
        <w:rPr>
          <w:rFonts w:ascii="宋体" w:hAnsi="宋体" w:eastAsia="宋体" w:cs="Times New Roman"/>
          <w:color w:val="auto"/>
          <w:sz w:val="24"/>
          <w:szCs w:val="24"/>
          <w:highlight w:val="none"/>
        </w:rPr>
      </w:pPr>
    </w:p>
    <w:p w14:paraId="3F341B5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委托单位（盖章）：                      法定代表人（签字或盖章）：</w:t>
      </w:r>
    </w:p>
    <w:p w14:paraId="642C0077">
      <w:pPr>
        <w:spacing w:line="360" w:lineRule="auto"/>
        <w:ind w:firstLine="480"/>
        <w:rPr>
          <w:rFonts w:ascii="宋体" w:hAnsi="宋体" w:eastAsia="宋体" w:cs="Times New Roman"/>
          <w:color w:val="auto"/>
          <w:sz w:val="24"/>
          <w:szCs w:val="24"/>
          <w:highlight w:val="none"/>
        </w:rPr>
      </w:pPr>
    </w:p>
    <w:p w14:paraId="1028485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签发日期：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日</w:t>
      </w:r>
    </w:p>
    <w:p w14:paraId="7F3536CF">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附法定代表人与委托代理人身份证明正反面电子件。</w:t>
      </w:r>
    </w:p>
    <w:p w14:paraId="39B06B57">
      <w:pPr>
        <w:spacing w:line="360" w:lineRule="auto"/>
        <w:ind w:firstLine="480"/>
        <w:rPr>
          <w:rFonts w:ascii="宋体" w:hAnsi="宋体" w:eastAsia="宋体" w:cs="Times New Roman"/>
          <w:color w:val="auto"/>
          <w:sz w:val="24"/>
          <w:szCs w:val="24"/>
          <w:highlight w:val="none"/>
        </w:rPr>
      </w:pPr>
    </w:p>
    <w:p w14:paraId="24360562">
      <w:pPr>
        <w:spacing w:line="360" w:lineRule="auto"/>
        <w:ind w:firstLine="480"/>
        <w:rPr>
          <w:rFonts w:ascii="宋体" w:hAnsi="宋体" w:eastAsia="宋体" w:cs="Times New Roman"/>
          <w:color w:val="auto"/>
          <w:sz w:val="24"/>
          <w:szCs w:val="24"/>
          <w:highlight w:val="none"/>
        </w:rPr>
      </w:pPr>
    </w:p>
    <w:p w14:paraId="35699FE3">
      <w:pPr>
        <w:spacing w:line="360" w:lineRule="auto"/>
        <w:ind w:firstLine="480"/>
        <w:rPr>
          <w:rFonts w:ascii="宋体" w:hAnsi="宋体" w:eastAsia="宋体" w:cs="Times New Roman"/>
          <w:color w:val="auto"/>
          <w:sz w:val="24"/>
          <w:szCs w:val="24"/>
          <w:highlight w:val="none"/>
        </w:rPr>
      </w:pPr>
    </w:p>
    <w:p w14:paraId="47929D8B">
      <w:pPr>
        <w:spacing w:line="360" w:lineRule="auto"/>
        <w:ind w:firstLine="480"/>
        <w:rPr>
          <w:rFonts w:ascii="宋体" w:hAnsi="宋体" w:eastAsia="宋体" w:cs="Times New Roman"/>
          <w:color w:val="auto"/>
          <w:sz w:val="24"/>
          <w:szCs w:val="24"/>
          <w:highlight w:val="none"/>
        </w:rPr>
      </w:pPr>
    </w:p>
    <w:p w14:paraId="28C6ADF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w:t>
      </w:r>
    </w:p>
    <w:p w14:paraId="2197D42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1．委托书内容填写应当明确、文字工整清楚，涂改无效。</w:t>
      </w:r>
    </w:p>
    <w:p w14:paraId="5BB50F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2．委托书不得转借、转让、买卖。</w:t>
      </w:r>
    </w:p>
    <w:p w14:paraId="381524D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3．委托代理人根据授权范围，以委托单位的名义签订合同，并将此委托书提交给采购单位作为合同附件。</w:t>
      </w:r>
    </w:p>
    <w:p w14:paraId="3A8CC034">
      <w:pPr>
        <w:keepNext/>
        <w:keepLines/>
        <w:outlineLvl w:val="1"/>
        <w:rPr>
          <w:rFonts w:ascii="Arial" w:hAnsi="Arial" w:eastAsia="黑体" w:cs="Times New Roman"/>
          <w:color w:val="auto"/>
          <w:sz w:val="32"/>
          <w:szCs w:val="21"/>
          <w:highlight w:val="none"/>
        </w:rPr>
      </w:pPr>
      <w:r>
        <w:rPr>
          <w:rFonts w:ascii="宋体" w:hAnsi="宋体" w:eastAsia="黑体" w:cs="Times New Roman"/>
          <w:b/>
          <w:bCs/>
          <w:color w:val="auto"/>
          <w:sz w:val="24"/>
          <w:szCs w:val="32"/>
          <w:highlight w:val="none"/>
        </w:rPr>
        <w:br w:type="page" w:clear="all"/>
      </w:r>
      <w:bookmarkStart w:id="177" w:name="_Toc9285"/>
      <w:r>
        <w:rPr>
          <w:rFonts w:hint="eastAsia" w:ascii="Arial" w:hAnsi="Arial" w:eastAsia="黑体" w:cs="Times New Roman"/>
          <w:b/>
          <w:bCs/>
          <w:color w:val="auto"/>
          <w:sz w:val="24"/>
          <w:szCs w:val="32"/>
          <w:highlight w:val="none"/>
        </w:rPr>
        <w:t>格式7、商务条款偏离表</w:t>
      </w:r>
      <w:bookmarkEnd w:id="177"/>
    </w:p>
    <w:p w14:paraId="1BE3C355">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53E299DC">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请逐条对应采购文件“项目需求”等内容要求的商务条件，填写该表。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0"/>
        <w:gridCol w:w="2602"/>
        <w:gridCol w:w="2746"/>
        <w:gridCol w:w="2293"/>
      </w:tblGrid>
      <w:tr w14:paraId="48236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center"/>
          </w:tcPr>
          <w:p w14:paraId="320BD792">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项号</w:t>
            </w:r>
          </w:p>
        </w:tc>
        <w:tc>
          <w:tcPr>
            <w:tcW w:w="2602" w:type="dxa"/>
            <w:noWrap w:val="0"/>
            <w:vAlign w:val="center"/>
          </w:tcPr>
          <w:p w14:paraId="08940A3C">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采购文件的商务条款</w:t>
            </w:r>
          </w:p>
        </w:tc>
        <w:tc>
          <w:tcPr>
            <w:tcW w:w="2746" w:type="dxa"/>
            <w:noWrap w:val="0"/>
            <w:vAlign w:val="center"/>
          </w:tcPr>
          <w:p w14:paraId="41416DDB">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响应文件的商务条款</w:t>
            </w:r>
          </w:p>
        </w:tc>
        <w:tc>
          <w:tcPr>
            <w:tcW w:w="2293" w:type="dxa"/>
            <w:noWrap w:val="0"/>
            <w:vAlign w:val="center"/>
          </w:tcPr>
          <w:p w14:paraId="37BBA747">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偏离说明</w:t>
            </w:r>
          </w:p>
        </w:tc>
      </w:tr>
      <w:tr w14:paraId="7ABBC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48282BFC">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0CBECA3C">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1B88BEF1">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5CECAD77">
            <w:pPr>
              <w:spacing w:line="360" w:lineRule="auto"/>
              <w:ind w:firstLine="480"/>
              <w:jc w:val="center"/>
              <w:rPr>
                <w:rFonts w:ascii="宋体" w:hAnsi="宋体" w:eastAsia="宋体" w:cs="Times New Roman"/>
                <w:color w:val="auto"/>
                <w:sz w:val="24"/>
                <w:szCs w:val="24"/>
                <w:highlight w:val="none"/>
              </w:rPr>
            </w:pPr>
          </w:p>
        </w:tc>
      </w:tr>
      <w:tr w14:paraId="7CB40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1A0B3998">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4A8A0C2C">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0640A0C7">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2D77038B">
            <w:pPr>
              <w:spacing w:line="360" w:lineRule="auto"/>
              <w:ind w:firstLine="480"/>
              <w:jc w:val="center"/>
              <w:rPr>
                <w:rFonts w:ascii="宋体" w:hAnsi="宋体" w:eastAsia="宋体" w:cs="Times New Roman"/>
                <w:color w:val="auto"/>
                <w:sz w:val="24"/>
                <w:szCs w:val="24"/>
                <w:highlight w:val="none"/>
              </w:rPr>
            </w:pPr>
          </w:p>
        </w:tc>
      </w:tr>
      <w:tr w14:paraId="18DEB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246CE938">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7A1612C4">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6D0180EA">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02D48CE9">
            <w:pPr>
              <w:spacing w:line="360" w:lineRule="auto"/>
              <w:ind w:firstLine="480"/>
              <w:jc w:val="center"/>
              <w:rPr>
                <w:rFonts w:ascii="宋体" w:hAnsi="宋体" w:eastAsia="宋体" w:cs="Times New Roman"/>
                <w:color w:val="auto"/>
                <w:sz w:val="24"/>
                <w:szCs w:val="24"/>
                <w:highlight w:val="none"/>
              </w:rPr>
            </w:pPr>
          </w:p>
        </w:tc>
      </w:tr>
      <w:tr w14:paraId="7D1EF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6EDCAD6F">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795149AD">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383B1DE7">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21B3AF97">
            <w:pPr>
              <w:spacing w:line="360" w:lineRule="auto"/>
              <w:ind w:firstLine="480"/>
              <w:jc w:val="center"/>
              <w:rPr>
                <w:rFonts w:ascii="宋体" w:hAnsi="宋体" w:eastAsia="宋体" w:cs="Times New Roman"/>
                <w:color w:val="auto"/>
                <w:sz w:val="24"/>
                <w:szCs w:val="24"/>
                <w:highlight w:val="none"/>
              </w:rPr>
            </w:pPr>
          </w:p>
        </w:tc>
      </w:tr>
      <w:tr w14:paraId="3433E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13D155EF">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714FAE29">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6F41608E">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1A0DD9F3">
            <w:pPr>
              <w:spacing w:line="360" w:lineRule="auto"/>
              <w:ind w:firstLine="480"/>
              <w:jc w:val="center"/>
              <w:rPr>
                <w:rFonts w:ascii="宋体" w:hAnsi="宋体" w:eastAsia="宋体" w:cs="Times New Roman"/>
                <w:color w:val="auto"/>
                <w:sz w:val="24"/>
                <w:szCs w:val="24"/>
                <w:highlight w:val="none"/>
              </w:rPr>
            </w:pPr>
          </w:p>
        </w:tc>
      </w:tr>
      <w:tr w14:paraId="45A20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26227124">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261C9E2A">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7CEF93D4">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1BFA9912">
            <w:pPr>
              <w:spacing w:line="360" w:lineRule="auto"/>
              <w:ind w:firstLine="480"/>
              <w:jc w:val="center"/>
              <w:rPr>
                <w:rFonts w:ascii="宋体" w:hAnsi="宋体" w:eastAsia="宋体" w:cs="Times New Roman"/>
                <w:color w:val="auto"/>
                <w:sz w:val="24"/>
                <w:szCs w:val="24"/>
                <w:highlight w:val="none"/>
              </w:rPr>
            </w:pPr>
          </w:p>
        </w:tc>
      </w:tr>
      <w:tr w14:paraId="38820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4B949603">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0932BE62">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33B213D8">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11E7B7E6">
            <w:pPr>
              <w:spacing w:line="360" w:lineRule="auto"/>
              <w:ind w:firstLine="480"/>
              <w:jc w:val="center"/>
              <w:rPr>
                <w:rFonts w:ascii="宋体" w:hAnsi="宋体" w:eastAsia="宋体" w:cs="Times New Roman"/>
                <w:color w:val="auto"/>
                <w:sz w:val="24"/>
                <w:szCs w:val="24"/>
                <w:highlight w:val="none"/>
              </w:rPr>
            </w:pPr>
          </w:p>
        </w:tc>
      </w:tr>
      <w:tr w14:paraId="601B9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1F0B8454">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098EAE06">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4B12ACB4">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31126876">
            <w:pPr>
              <w:spacing w:line="360" w:lineRule="auto"/>
              <w:ind w:firstLine="480"/>
              <w:jc w:val="center"/>
              <w:rPr>
                <w:rFonts w:ascii="宋体" w:hAnsi="宋体" w:eastAsia="宋体" w:cs="Times New Roman"/>
                <w:color w:val="auto"/>
                <w:sz w:val="24"/>
                <w:szCs w:val="24"/>
                <w:highlight w:val="none"/>
              </w:rPr>
            </w:pPr>
          </w:p>
        </w:tc>
      </w:tr>
      <w:tr w14:paraId="76347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6693BBA7">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4BE87C9B">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1C505743">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65A627C9">
            <w:pPr>
              <w:spacing w:line="360" w:lineRule="auto"/>
              <w:ind w:firstLine="480"/>
              <w:jc w:val="center"/>
              <w:rPr>
                <w:rFonts w:ascii="宋体" w:hAnsi="宋体" w:eastAsia="宋体" w:cs="Times New Roman"/>
                <w:color w:val="auto"/>
                <w:sz w:val="24"/>
                <w:szCs w:val="24"/>
                <w:highlight w:val="none"/>
              </w:rPr>
            </w:pPr>
          </w:p>
        </w:tc>
      </w:tr>
      <w:tr w14:paraId="38039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1CB3F8C4">
            <w:pPr>
              <w:spacing w:line="360" w:lineRule="auto"/>
              <w:ind w:firstLine="480"/>
              <w:jc w:val="center"/>
              <w:rPr>
                <w:rFonts w:ascii="宋体" w:hAnsi="宋体" w:eastAsia="宋体" w:cs="Times New Roman"/>
                <w:color w:val="auto"/>
                <w:sz w:val="24"/>
                <w:szCs w:val="24"/>
                <w:highlight w:val="none"/>
              </w:rPr>
            </w:pPr>
          </w:p>
        </w:tc>
        <w:tc>
          <w:tcPr>
            <w:tcW w:w="2602" w:type="dxa"/>
            <w:noWrap w:val="0"/>
            <w:vAlign w:val="top"/>
          </w:tcPr>
          <w:p w14:paraId="31A19A6D">
            <w:pPr>
              <w:spacing w:line="360" w:lineRule="auto"/>
              <w:ind w:firstLine="480"/>
              <w:jc w:val="center"/>
              <w:rPr>
                <w:rFonts w:ascii="宋体" w:hAnsi="宋体" w:eastAsia="宋体" w:cs="Times New Roman"/>
                <w:color w:val="auto"/>
                <w:sz w:val="24"/>
                <w:szCs w:val="24"/>
                <w:highlight w:val="none"/>
              </w:rPr>
            </w:pPr>
          </w:p>
        </w:tc>
        <w:tc>
          <w:tcPr>
            <w:tcW w:w="2746" w:type="dxa"/>
            <w:noWrap w:val="0"/>
            <w:vAlign w:val="top"/>
          </w:tcPr>
          <w:p w14:paraId="3AC45AEC">
            <w:pPr>
              <w:spacing w:line="360" w:lineRule="auto"/>
              <w:ind w:firstLine="480"/>
              <w:jc w:val="center"/>
              <w:rPr>
                <w:rFonts w:ascii="宋体" w:hAnsi="宋体" w:eastAsia="宋体" w:cs="Times New Roman"/>
                <w:color w:val="auto"/>
                <w:sz w:val="24"/>
                <w:szCs w:val="24"/>
                <w:highlight w:val="none"/>
              </w:rPr>
            </w:pPr>
          </w:p>
        </w:tc>
        <w:tc>
          <w:tcPr>
            <w:tcW w:w="2293" w:type="dxa"/>
            <w:noWrap w:val="0"/>
            <w:vAlign w:val="top"/>
          </w:tcPr>
          <w:p w14:paraId="6A3C9A83">
            <w:pPr>
              <w:spacing w:line="360" w:lineRule="auto"/>
              <w:ind w:firstLine="480"/>
              <w:jc w:val="center"/>
              <w:rPr>
                <w:rFonts w:ascii="宋体" w:hAnsi="宋体" w:eastAsia="宋体" w:cs="Times New Roman"/>
                <w:color w:val="auto"/>
                <w:sz w:val="24"/>
                <w:szCs w:val="24"/>
                <w:highlight w:val="none"/>
              </w:rPr>
            </w:pPr>
          </w:p>
        </w:tc>
      </w:tr>
    </w:tbl>
    <w:p w14:paraId="47F05970">
      <w:pPr>
        <w:spacing w:line="400" w:lineRule="exact"/>
        <w:rPr>
          <w:rFonts w:ascii="宋体" w:hAnsi="宋体" w:eastAsia="宋体" w:cs="Times New Roman"/>
          <w:color w:val="auto"/>
          <w:szCs w:val="20"/>
          <w:highlight w:val="none"/>
        </w:rPr>
      </w:pPr>
      <w:r>
        <w:rPr>
          <w:rFonts w:hint="eastAsia" w:ascii="宋体" w:hAnsi="宋体" w:eastAsia="宋体" w:cs="Times New Roman"/>
          <w:color w:val="auto"/>
          <w:sz w:val="24"/>
          <w:szCs w:val="24"/>
          <w:highlight w:val="none"/>
        </w:rPr>
        <w:t>注：“偏离说明”填写“正偏离”“负偏离”或“无偏离”。</w:t>
      </w:r>
    </w:p>
    <w:p w14:paraId="40936D3F">
      <w:pPr>
        <w:spacing w:line="360" w:lineRule="auto"/>
        <w:ind w:firstLine="480"/>
        <w:jc w:val="left"/>
        <w:rPr>
          <w:rFonts w:ascii="宋体" w:hAnsi="宋体" w:eastAsia="宋体" w:cs="Times New Roman"/>
          <w:bCs/>
          <w:color w:val="auto"/>
          <w:sz w:val="24"/>
          <w:szCs w:val="24"/>
          <w:highlight w:val="none"/>
        </w:rPr>
      </w:pPr>
    </w:p>
    <w:p w14:paraId="70367AD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BB1ADD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D2728D4">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7FCA1273">
      <w:pPr>
        <w:keepNext/>
        <w:keepLines/>
        <w:outlineLvl w:val="1"/>
        <w:rPr>
          <w:rFonts w:ascii="Arial" w:hAnsi="宋体" w:eastAsia="黑体" w:cs="Times New Roman"/>
          <w:b/>
          <w:bCs/>
          <w:color w:val="auto"/>
          <w:sz w:val="32"/>
          <w:szCs w:val="21"/>
          <w:highlight w:val="none"/>
        </w:rPr>
      </w:pPr>
      <w:r>
        <w:rPr>
          <w:rFonts w:ascii="Arial" w:hAnsi="Arial" w:eastAsia="黑体" w:cs="Times New Roman"/>
          <w:b/>
          <w:bCs/>
          <w:color w:val="auto"/>
          <w:sz w:val="32"/>
          <w:szCs w:val="32"/>
          <w:highlight w:val="none"/>
        </w:rPr>
        <w:br w:type="page" w:clear="all"/>
      </w:r>
      <w:bookmarkStart w:id="178" w:name="_Toc1910"/>
      <w:r>
        <w:rPr>
          <w:rFonts w:hint="eastAsia" w:ascii="Arial" w:hAnsi="Arial" w:eastAsia="黑体" w:cs="Times New Roman"/>
          <w:b/>
          <w:bCs/>
          <w:color w:val="auto"/>
          <w:sz w:val="24"/>
          <w:szCs w:val="32"/>
          <w:highlight w:val="none"/>
        </w:rPr>
        <w:t>格式8、售后服务承诺书</w:t>
      </w:r>
      <w:bookmarkEnd w:id="178"/>
    </w:p>
    <w:p w14:paraId="314EFC05">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780FE7BA">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0"/>
          <w:highlight w:val="none"/>
        </w:rPr>
        <w:t>（供应商按“项目需求”等内容要求自行填写，格式自定)</w:t>
      </w:r>
    </w:p>
    <w:p w14:paraId="20CDFBFE">
      <w:pPr>
        <w:spacing w:line="360" w:lineRule="auto"/>
        <w:ind w:firstLine="480"/>
        <w:rPr>
          <w:rFonts w:ascii="宋体" w:hAnsi="宋体" w:eastAsia="宋体" w:cs="Times New Roman"/>
          <w:color w:val="auto"/>
          <w:sz w:val="24"/>
          <w:szCs w:val="24"/>
          <w:highlight w:val="none"/>
        </w:rPr>
      </w:pPr>
    </w:p>
    <w:p w14:paraId="6D694F55">
      <w:pPr>
        <w:spacing w:line="360" w:lineRule="auto"/>
        <w:ind w:firstLine="480"/>
        <w:rPr>
          <w:rFonts w:ascii="宋体" w:hAnsi="宋体" w:eastAsia="宋体" w:cs="Times New Roman"/>
          <w:color w:val="auto"/>
          <w:sz w:val="24"/>
          <w:szCs w:val="24"/>
          <w:highlight w:val="none"/>
        </w:rPr>
      </w:pPr>
    </w:p>
    <w:p w14:paraId="2C224CBE">
      <w:pPr>
        <w:spacing w:line="360" w:lineRule="auto"/>
        <w:ind w:firstLine="480"/>
        <w:rPr>
          <w:rFonts w:ascii="宋体" w:hAnsi="宋体" w:eastAsia="宋体" w:cs="Times New Roman"/>
          <w:color w:val="auto"/>
          <w:sz w:val="24"/>
          <w:szCs w:val="24"/>
          <w:highlight w:val="none"/>
        </w:rPr>
      </w:pPr>
    </w:p>
    <w:p w14:paraId="7F926904">
      <w:pPr>
        <w:spacing w:line="360" w:lineRule="auto"/>
        <w:ind w:firstLine="480"/>
        <w:rPr>
          <w:rFonts w:ascii="宋体" w:hAnsi="宋体" w:eastAsia="宋体" w:cs="Times New Roman"/>
          <w:color w:val="auto"/>
          <w:sz w:val="24"/>
          <w:szCs w:val="24"/>
          <w:highlight w:val="none"/>
        </w:rPr>
      </w:pPr>
    </w:p>
    <w:p w14:paraId="20050FCA">
      <w:pPr>
        <w:spacing w:line="360" w:lineRule="auto"/>
        <w:ind w:firstLine="480"/>
        <w:rPr>
          <w:rFonts w:ascii="宋体" w:hAnsi="宋体" w:eastAsia="宋体" w:cs="Times New Roman"/>
          <w:color w:val="auto"/>
          <w:sz w:val="24"/>
          <w:szCs w:val="24"/>
          <w:highlight w:val="none"/>
        </w:rPr>
      </w:pPr>
    </w:p>
    <w:p w14:paraId="250FD85C">
      <w:pPr>
        <w:spacing w:line="360" w:lineRule="auto"/>
        <w:ind w:firstLine="480"/>
        <w:rPr>
          <w:rFonts w:ascii="宋体" w:hAnsi="宋体" w:eastAsia="宋体" w:cs="Times New Roman"/>
          <w:color w:val="auto"/>
          <w:sz w:val="24"/>
          <w:szCs w:val="24"/>
          <w:highlight w:val="none"/>
        </w:rPr>
      </w:pPr>
    </w:p>
    <w:p w14:paraId="538BEEB9">
      <w:pPr>
        <w:spacing w:line="360" w:lineRule="auto"/>
        <w:ind w:firstLine="480"/>
        <w:rPr>
          <w:rFonts w:ascii="宋体" w:hAnsi="宋体" w:eastAsia="宋体" w:cs="Times New Roman"/>
          <w:color w:val="auto"/>
          <w:sz w:val="24"/>
          <w:szCs w:val="24"/>
          <w:highlight w:val="none"/>
        </w:rPr>
      </w:pPr>
    </w:p>
    <w:p w14:paraId="6A4957E1">
      <w:pPr>
        <w:spacing w:line="360" w:lineRule="auto"/>
        <w:ind w:firstLine="480"/>
        <w:rPr>
          <w:rFonts w:ascii="宋体" w:hAnsi="宋体" w:eastAsia="宋体" w:cs="Times New Roman"/>
          <w:color w:val="auto"/>
          <w:sz w:val="24"/>
          <w:szCs w:val="24"/>
          <w:highlight w:val="none"/>
        </w:rPr>
      </w:pPr>
    </w:p>
    <w:p w14:paraId="52B419BB">
      <w:pPr>
        <w:spacing w:line="360" w:lineRule="auto"/>
        <w:ind w:firstLine="480"/>
        <w:rPr>
          <w:rFonts w:ascii="宋体" w:hAnsi="宋体" w:eastAsia="宋体" w:cs="Times New Roman"/>
          <w:color w:val="auto"/>
          <w:sz w:val="24"/>
          <w:szCs w:val="24"/>
          <w:highlight w:val="none"/>
        </w:rPr>
      </w:pPr>
    </w:p>
    <w:p w14:paraId="7A0189AA">
      <w:pPr>
        <w:spacing w:line="360" w:lineRule="auto"/>
        <w:ind w:firstLine="480"/>
        <w:rPr>
          <w:rFonts w:ascii="宋体" w:hAnsi="宋体" w:eastAsia="宋体" w:cs="Times New Roman"/>
          <w:color w:val="auto"/>
          <w:sz w:val="24"/>
          <w:szCs w:val="24"/>
          <w:highlight w:val="none"/>
        </w:rPr>
      </w:pPr>
    </w:p>
    <w:p w14:paraId="55C539F2">
      <w:pPr>
        <w:spacing w:line="360" w:lineRule="auto"/>
        <w:ind w:firstLine="480"/>
        <w:rPr>
          <w:rFonts w:ascii="宋体" w:hAnsi="宋体" w:eastAsia="宋体" w:cs="Times New Roman"/>
          <w:color w:val="auto"/>
          <w:sz w:val="24"/>
          <w:szCs w:val="24"/>
          <w:highlight w:val="none"/>
        </w:rPr>
      </w:pPr>
    </w:p>
    <w:p w14:paraId="6562788D">
      <w:pPr>
        <w:spacing w:line="360" w:lineRule="auto"/>
        <w:ind w:firstLine="480"/>
        <w:rPr>
          <w:rFonts w:ascii="宋体" w:hAnsi="宋体" w:eastAsia="宋体" w:cs="Times New Roman"/>
          <w:color w:val="auto"/>
          <w:sz w:val="24"/>
          <w:szCs w:val="24"/>
          <w:highlight w:val="none"/>
        </w:rPr>
      </w:pPr>
    </w:p>
    <w:p w14:paraId="003EF39C">
      <w:pPr>
        <w:spacing w:line="360" w:lineRule="auto"/>
        <w:ind w:firstLine="480"/>
        <w:rPr>
          <w:rFonts w:ascii="宋体" w:hAnsi="宋体" w:eastAsia="宋体" w:cs="Times New Roman"/>
          <w:color w:val="auto"/>
          <w:sz w:val="24"/>
          <w:szCs w:val="24"/>
          <w:highlight w:val="none"/>
        </w:rPr>
      </w:pPr>
    </w:p>
    <w:p w14:paraId="5A256C1C">
      <w:pPr>
        <w:spacing w:line="360" w:lineRule="auto"/>
        <w:ind w:firstLine="480"/>
        <w:rPr>
          <w:rFonts w:ascii="宋体" w:hAnsi="宋体" w:eastAsia="宋体" w:cs="Times New Roman"/>
          <w:color w:val="auto"/>
          <w:sz w:val="24"/>
          <w:szCs w:val="24"/>
          <w:highlight w:val="none"/>
        </w:rPr>
      </w:pPr>
    </w:p>
    <w:p w14:paraId="2050D60C">
      <w:pPr>
        <w:spacing w:line="360" w:lineRule="auto"/>
        <w:ind w:firstLine="480"/>
        <w:rPr>
          <w:rFonts w:ascii="宋体" w:hAnsi="宋体" w:eastAsia="宋体" w:cs="Times New Roman"/>
          <w:color w:val="auto"/>
          <w:sz w:val="24"/>
          <w:szCs w:val="24"/>
          <w:highlight w:val="none"/>
        </w:rPr>
      </w:pPr>
    </w:p>
    <w:p w14:paraId="3FD4E5ED">
      <w:pPr>
        <w:spacing w:line="360" w:lineRule="auto"/>
        <w:ind w:firstLine="480"/>
        <w:rPr>
          <w:rFonts w:ascii="宋体" w:hAnsi="宋体" w:eastAsia="宋体" w:cs="Times New Roman"/>
          <w:color w:val="auto"/>
          <w:sz w:val="24"/>
          <w:szCs w:val="24"/>
          <w:highlight w:val="none"/>
        </w:rPr>
      </w:pPr>
    </w:p>
    <w:p w14:paraId="240E5726">
      <w:pPr>
        <w:spacing w:line="360" w:lineRule="auto"/>
        <w:ind w:firstLine="480"/>
        <w:rPr>
          <w:rFonts w:ascii="宋体" w:hAnsi="宋体" w:eastAsia="宋体" w:cs="Times New Roman"/>
          <w:color w:val="auto"/>
          <w:sz w:val="24"/>
          <w:szCs w:val="24"/>
          <w:highlight w:val="none"/>
        </w:rPr>
      </w:pPr>
    </w:p>
    <w:p w14:paraId="73EB715B">
      <w:pPr>
        <w:spacing w:line="360" w:lineRule="auto"/>
        <w:ind w:firstLine="480"/>
        <w:rPr>
          <w:rFonts w:ascii="宋体" w:hAnsi="宋体" w:eastAsia="宋体" w:cs="Times New Roman"/>
          <w:color w:val="auto"/>
          <w:sz w:val="24"/>
          <w:szCs w:val="24"/>
          <w:highlight w:val="none"/>
        </w:rPr>
      </w:pPr>
    </w:p>
    <w:p w14:paraId="53134E88">
      <w:pPr>
        <w:spacing w:line="360" w:lineRule="auto"/>
        <w:ind w:firstLine="480"/>
        <w:rPr>
          <w:rFonts w:ascii="宋体" w:hAnsi="宋体" w:eastAsia="宋体" w:cs="Times New Roman"/>
          <w:color w:val="auto"/>
          <w:sz w:val="24"/>
          <w:szCs w:val="24"/>
          <w:highlight w:val="none"/>
        </w:rPr>
      </w:pPr>
    </w:p>
    <w:p w14:paraId="2C1F121C">
      <w:pPr>
        <w:spacing w:line="360" w:lineRule="auto"/>
        <w:ind w:firstLine="480"/>
        <w:rPr>
          <w:rFonts w:ascii="宋体" w:hAnsi="宋体" w:eastAsia="宋体" w:cs="Times New Roman"/>
          <w:color w:val="auto"/>
          <w:sz w:val="24"/>
          <w:szCs w:val="24"/>
          <w:highlight w:val="none"/>
        </w:rPr>
      </w:pPr>
    </w:p>
    <w:p w14:paraId="69D5B687">
      <w:pPr>
        <w:spacing w:line="360" w:lineRule="auto"/>
        <w:ind w:firstLine="480"/>
        <w:rPr>
          <w:rFonts w:ascii="宋体" w:hAnsi="宋体" w:eastAsia="宋体" w:cs="Times New Roman"/>
          <w:color w:val="auto"/>
          <w:sz w:val="24"/>
          <w:szCs w:val="24"/>
          <w:highlight w:val="none"/>
        </w:rPr>
      </w:pPr>
    </w:p>
    <w:p w14:paraId="4DEC803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4434C12">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53E82B0B">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445F0ACD">
      <w:pPr>
        <w:keepNext/>
        <w:keepLines/>
        <w:outlineLvl w:val="1"/>
        <w:rPr>
          <w:rFonts w:ascii="Arial" w:hAnsi="宋体" w:eastAsia="黑体" w:cs="Times New Roman"/>
          <w:b/>
          <w:bCs/>
          <w:color w:val="auto"/>
          <w:sz w:val="32"/>
          <w:szCs w:val="21"/>
          <w:highlight w:val="none"/>
        </w:rPr>
      </w:pPr>
      <w:r>
        <w:rPr>
          <w:rFonts w:ascii="Arial" w:hAnsi="Arial" w:eastAsia="黑体" w:cs="Times New Roman"/>
          <w:b/>
          <w:bCs/>
          <w:color w:val="auto"/>
          <w:sz w:val="32"/>
          <w:szCs w:val="32"/>
          <w:highlight w:val="none"/>
        </w:rPr>
        <w:br w:type="page" w:clear="all"/>
      </w:r>
      <w:bookmarkStart w:id="179" w:name="_Toc31985"/>
      <w:r>
        <w:rPr>
          <w:rFonts w:hint="eastAsia" w:ascii="Arial" w:hAnsi="Arial" w:eastAsia="黑体" w:cs="Times New Roman"/>
          <w:b/>
          <w:bCs/>
          <w:color w:val="auto"/>
          <w:sz w:val="24"/>
          <w:szCs w:val="32"/>
          <w:highlight w:val="none"/>
        </w:rPr>
        <w:t>格式9、项目团队人员一览表</w:t>
      </w:r>
      <w:bookmarkEnd w:id="179"/>
    </w:p>
    <w:p w14:paraId="62F3644C">
      <w:pPr>
        <w:spacing w:line="520" w:lineRule="exact"/>
        <w:ind w:firstLine="3233"/>
        <w:rPr>
          <w:rFonts w:ascii="宋体" w:hAnsi="宋体" w:eastAsia="宋体" w:cs="Times New Roman"/>
          <w:b/>
          <w:bCs/>
          <w:color w:val="auto"/>
          <w:sz w:val="28"/>
          <w:szCs w:val="24"/>
          <w:highlight w:val="none"/>
        </w:rPr>
      </w:pPr>
    </w:p>
    <w:p w14:paraId="65517BCD">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62600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0300C09C">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姓  名</w:t>
            </w:r>
          </w:p>
        </w:tc>
        <w:tc>
          <w:tcPr>
            <w:tcW w:w="1905" w:type="dxa"/>
            <w:noWrap w:val="0"/>
            <w:vAlign w:val="center"/>
          </w:tcPr>
          <w:p w14:paraId="02AFBEB2">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本项目拟任</w:t>
            </w:r>
          </w:p>
          <w:p w14:paraId="7B35E539">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职  务</w:t>
            </w:r>
          </w:p>
        </w:tc>
        <w:tc>
          <w:tcPr>
            <w:tcW w:w="1127" w:type="dxa"/>
            <w:noWrap w:val="0"/>
            <w:vAlign w:val="center"/>
          </w:tcPr>
          <w:p w14:paraId="57F0DAE0">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技术</w:t>
            </w:r>
          </w:p>
          <w:p w14:paraId="31B1D2C4">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职称</w:t>
            </w:r>
          </w:p>
        </w:tc>
        <w:tc>
          <w:tcPr>
            <w:tcW w:w="896" w:type="dxa"/>
            <w:noWrap w:val="0"/>
            <w:vAlign w:val="center"/>
          </w:tcPr>
          <w:p w14:paraId="0FC37A3E">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年龄</w:t>
            </w:r>
          </w:p>
        </w:tc>
        <w:tc>
          <w:tcPr>
            <w:tcW w:w="896" w:type="dxa"/>
            <w:noWrap w:val="0"/>
            <w:vAlign w:val="center"/>
          </w:tcPr>
          <w:p w14:paraId="76533A93">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学历</w:t>
            </w:r>
          </w:p>
        </w:tc>
        <w:tc>
          <w:tcPr>
            <w:tcW w:w="2814" w:type="dxa"/>
            <w:noWrap w:val="0"/>
            <w:vAlign w:val="center"/>
          </w:tcPr>
          <w:p w14:paraId="66E96E5A">
            <w:pPr>
              <w:spacing w:line="520" w:lineRule="exact"/>
              <w:jc w:val="center"/>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主要资历及担任过的职务</w:t>
            </w:r>
          </w:p>
        </w:tc>
      </w:tr>
      <w:tr w14:paraId="4C0BF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62159864">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3A83581F">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3922AD87">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6F90474D">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7254FE90">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16EC4453">
            <w:pPr>
              <w:spacing w:line="520" w:lineRule="exact"/>
              <w:jc w:val="center"/>
              <w:rPr>
                <w:rFonts w:ascii="宋体" w:hAnsi="宋体" w:eastAsia="宋体" w:cs="Times New Roman"/>
                <w:color w:val="auto"/>
                <w:sz w:val="28"/>
                <w:szCs w:val="24"/>
                <w:highlight w:val="none"/>
              </w:rPr>
            </w:pPr>
          </w:p>
        </w:tc>
      </w:tr>
      <w:tr w14:paraId="6A66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B7C6454">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30E8FFE1">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1D103543">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66C9A2E5">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36345F00">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2A9F834A">
            <w:pPr>
              <w:spacing w:line="520" w:lineRule="exact"/>
              <w:jc w:val="center"/>
              <w:rPr>
                <w:rFonts w:ascii="宋体" w:hAnsi="宋体" w:eastAsia="宋体" w:cs="Times New Roman"/>
                <w:color w:val="auto"/>
                <w:sz w:val="28"/>
                <w:szCs w:val="24"/>
                <w:highlight w:val="none"/>
              </w:rPr>
            </w:pPr>
          </w:p>
        </w:tc>
      </w:tr>
      <w:tr w14:paraId="1957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356D62FB">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1F357812">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1BAE73D8">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3457E8CA">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35ADB591">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151072C8">
            <w:pPr>
              <w:spacing w:line="520" w:lineRule="exact"/>
              <w:jc w:val="center"/>
              <w:rPr>
                <w:rFonts w:ascii="宋体" w:hAnsi="宋体" w:eastAsia="宋体" w:cs="Times New Roman"/>
                <w:color w:val="auto"/>
                <w:sz w:val="28"/>
                <w:szCs w:val="24"/>
                <w:highlight w:val="none"/>
              </w:rPr>
            </w:pPr>
          </w:p>
        </w:tc>
      </w:tr>
      <w:tr w14:paraId="7DF9D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00CA1B97">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77989849">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2A6365D2">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68A2482C">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09D09A4F">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41F269F6">
            <w:pPr>
              <w:spacing w:line="520" w:lineRule="exact"/>
              <w:jc w:val="center"/>
              <w:rPr>
                <w:rFonts w:ascii="宋体" w:hAnsi="宋体" w:eastAsia="宋体" w:cs="Times New Roman"/>
                <w:color w:val="auto"/>
                <w:sz w:val="28"/>
                <w:szCs w:val="24"/>
                <w:highlight w:val="none"/>
              </w:rPr>
            </w:pPr>
          </w:p>
        </w:tc>
      </w:tr>
      <w:tr w14:paraId="4280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7B30CAA">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25B01AA6">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334EDA89">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2B60D129">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3CEE56F9">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06C5757F">
            <w:pPr>
              <w:spacing w:line="520" w:lineRule="exact"/>
              <w:jc w:val="center"/>
              <w:rPr>
                <w:rFonts w:ascii="宋体" w:hAnsi="宋体" w:eastAsia="宋体" w:cs="Times New Roman"/>
                <w:color w:val="auto"/>
                <w:sz w:val="28"/>
                <w:szCs w:val="24"/>
                <w:highlight w:val="none"/>
              </w:rPr>
            </w:pPr>
          </w:p>
        </w:tc>
      </w:tr>
      <w:tr w14:paraId="58BC2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E782558">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1183FB18">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340B3BDD">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06D8D1BE">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389AAE13">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17048142">
            <w:pPr>
              <w:spacing w:line="520" w:lineRule="exact"/>
              <w:jc w:val="center"/>
              <w:rPr>
                <w:rFonts w:ascii="宋体" w:hAnsi="宋体" w:eastAsia="宋体" w:cs="Times New Roman"/>
                <w:color w:val="auto"/>
                <w:sz w:val="28"/>
                <w:szCs w:val="24"/>
                <w:highlight w:val="none"/>
              </w:rPr>
            </w:pPr>
          </w:p>
        </w:tc>
      </w:tr>
      <w:tr w14:paraId="4F347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31EB2F7">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568E25C6">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011AA135">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42B7AD99">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3081E0AF">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5E482582">
            <w:pPr>
              <w:spacing w:line="520" w:lineRule="exact"/>
              <w:jc w:val="center"/>
              <w:rPr>
                <w:rFonts w:ascii="宋体" w:hAnsi="宋体" w:eastAsia="宋体" w:cs="Times New Roman"/>
                <w:color w:val="auto"/>
                <w:sz w:val="28"/>
                <w:szCs w:val="24"/>
                <w:highlight w:val="none"/>
              </w:rPr>
            </w:pPr>
          </w:p>
        </w:tc>
      </w:tr>
      <w:tr w14:paraId="2939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49F957E">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2AB8006D">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275BFB40">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13B594B9">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19B72580">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487006CB">
            <w:pPr>
              <w:spacing w:line="520" w:lineRule="exact"/>
              <w:jc w:val="center"/>
              <w:rPr>
                <w:rFonts w:ascii="宋体" w:hAnsi="宋体" w:eastAsia="宋体" w:cs="Times New Roman"/>
                <w:color w:val="auto"/>
                <w:sz w:val="28"/>
                <w:szCs w:val="24"/>
                <w:highlight w:val="none"/>
              </w:rPr>
            </w:pPr>
          </w:p>
        </w:tc>
      </w:tr>
      <w:tr w14:paraId="4A587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B405C6B">
            <w:pPr>
              <w:spacing w:line="520" w:lineRule="exact"/>
              <w:jc w:val="center"/>
              <w:rPr>
                <w:rFonts w:ascii="宋体" w:hAnsi="宋体" w:eastAsia="宋体" w:cs="Times New Roman"/>
                <w:color w:val="auto"/>
                <w:sz w:val="28"/>
                <w:szCs w:val="24"/>
                <w:highlight w:val="none"/>
              </w:rPr>
            </w:pPr>
          </w:p>
        </w:tc>
        <w:tc>
          <w:tcPr>
            <w:tcW w:w="1905" w:type="dxa"/>
            <w:noWrap w:val="0"/>
            <w:vAlign w:val="center"/>
          </w:tcPr>
          <w:p w14:paraId="14D3BF9F">
            <w:pPr>
              <w:spacing w:line="520" w:lineRule="exact"/>
              <w:jc w:val="center"/>
              <w:rPr>
                <w:rFonts w:ascii="宋体" w:hAnsi="宋体" w:eastAsia="宋体" w:cs="Times New Roman"/>
                <w:color w:val="auto"/>
                <w:sz w:val="28"/>
                <w:szCs w:val="24"/>
                <w:highlight w:val="none"/>
              </w:rPr>
            </w:pPr>
          </w:p>
        </w:tc>
        <w:tc>
          <w:tcPr>
            <w:tcW w:w="1127" w:type="dxa"/>
            <w:noWrap w:val="0"/>
            <w:vAlign w:val="center"/>
          </w:tcPr>
          <w:p w14:paraId="4D76728D">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73BD77F7">
            <w:pPr>
              <w:spacing w:line="520" w:lineRule="exact"/>
              <w:jc w:val="center"/>
              <w:rPr>
                <w:rFonts w:ascii="宋体" w:hAnsi="宋体" w:eastAsia="宋体" w:cs="Times New Roman"/>
                <w:color w:val="auto"/>
                <w:sz w:val="28"/>
                <w:szCs w:val="24"/>
                <w:highlight w:val="none"/>
              </w:rPr>
            </w:pPr>
          </w:p>
        </w:tc>
        <w:tc>
          <w:tcPr>
            <w:tcW w:w="896" w:type="dxa"/>
            <w:noWrap w:val="0"/>
            <w:vAlign w:val="center"/>
          </w:tcPr>
          <w:p w14:paraId="6C832346">
            <w:pPr>
              <w:spacing w:line="520" w:lineRule="exact"/>
              <w:jc w:val="center"/>
              <w:rPr>
                <w:rFonts w:ascii="宋体" w:hAnsi="宋体" w:eastAsia="宋体" w:cs="Times New Roman"/>
                <w:color w:val="auto"/>
                <w:sz w:val="28"/>
                <w:szCs w:val="24"/>
                <w:highlight w:val="none"/>
              </w:rPr>
            </w:pPr>
          </w:p>
        </w:tc>
        <w:tc>
          <w:tcPr>
            <w:tcW w:w="2814" w:type="dxa"/>
            <w:noWrap w:val="0"/>
            <w:vAlign w:val="center"/>
          </w:tcPr>
          <w:p w14:paraId="7C1961F3">
            <w:pPr>
              <w:spacing w:line="520" w:lineRule="exact"/>
              <w:jc w:val="center"/>
              <w:rPr>
                <w:rFonts w:ascii="宋体" w:hAnsi="宋体" w:eastAsia="宋体" w:cs="Times New Roman"/>
                <w:color w:val="auto"/>
                <w:sz w:val="28"/>
                <w:szCs w:val="24"/>
                <w:highlight w:val="none"/>
              </w:rPr>
            </w:pPr>
          </w:p>
        </w:tc>
      </w:tr>
    </w:tbl>
    <w:p w14:paraId="1ADC0701">
      <w:pPr>
        <w:spacing w:line="400" w:lineRule="exact"/>
        <w:rPr>
          <w:rFonts w:ascii="宋体" w:hAnsi="宋体" w:eastAsia="宋体" w:cs="Times New Roman"/>
          <w:b/>
          <w:color w:val="auto"/>
          <w:sz w:val="28"/>
          <w:szCs w:val="30"/>
          <w:highlight w:val="none"/>
        </w:rPr>
      </w:pPr>
    </w:p>
    <w:p w14:paraId="65B97AD6">
      <w:pPr>
        <w:spacing w:line="400" w:lineRule="exact"/>
        <w:jc w:val="center"/>
        <w:rPr>
          <w:rFonts w:ascii="宋体" w:hAnsi="宋体" w:eastAsia="宋体" w:cs="Times New Roman"/>
          <w:b/>
          <w:color w:val="auto"/>
          <w:sz w:val="28"/>
          <w:szCs w:val="30"/>
          <w:highlight w:val="none"/>
        </w:rPr>
      </w:pPr>
    </w:p>
    <w:p w14:paraId="4E314CF5">
      <w:pPr>
        <w:spacing w:line="400" w:lineRule="exact"/>
        <w:jc w:val="center"/>
        <w:rPr>
          <w:rFonts w:ascii="宋体" w:hAnsi="宋体" w:eastAsia="宋体" w:cs="Times New Roman"/>
          <w:b/>
          <w:color w:val="auto"/>
          <w:sz w:val="28"/>
          <w:szCs w:val="30"/>
          <w:highlight w:val="none"/>
        </w:rPr>
      </w:pPr>
    </w:p>
    <w:p w14:paraId="041FE0D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D471E7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EB01E56">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6D4E7C29">
      <w:pPr>
        <w:spacing w:line="360" w:lineRule="auto"/>
        <w:ind w:firstLine="480"/>
        <w:rPr>
          <w:rFonts w:ascii="宋体" w:hAnsi="Courier New" w:eastAsia="宋体" w:cs="Times New Roman"/>
          <w:color w:val="auto"/>
          <w:sz w:val="24"/>
          <w:szCs w:val="24"/>
          <w:highlight w:val="none"/>
        </w:rPr>
      </w:pPr>
    </w:p>
    <w:p w14:paraId="2B62379D">
      <w:pPr>
        <w:keepNext/>
        <w:keepLines/>
        <w:outlineLvl w:val="1"/>
        <w:rPr>
          <w:rFonts w:ascii="Arial" w:hAnsi="Arial" w:eastAsia="黑体" w:cs="Times New Roman"/>
          <w:b/>
          <w:bCs/>
          <w:color w:val="auto"/>
          <w:sz w:val="32"/>
          <w:szCs w:val="32"/>
          <w:highlight w:val="none"/>
        </w:rPr>
      </w:pPr>
      <w:r>
        <w:rPr>
          <w:rFonts w:ascii="Arial" w:hAnsi="Arial" w:eastAsia="黑体" w:cs="Times New Roman"/>
          <w:b/>
          <w:bCs/>
          <w:color w:val="auto"/>
          <w:sz w:val="32"/>
          <w:szCs w:val="32"/>
          <w:highlight w:val="none"/>
        </w:rPr>
        <w:br w:type="page" w:clear="all"/>
      </w:r>
      <w:bookmarkStart w:id="180" w:name="_Toc25865"/>
      <w:r>
        <w:rPr>
          <w:rFonts w:hint="eastAsia" w:ascii="Arial" w:hAnsi="Arial" w:eastAsia="黑体" w:cs="Times New Roman"/>
          <w:b/>
          <w:bCs/>
          <w:color w:val="auto"/>
          <w:sz w:val="24"/>
          <w:szCs w:val="32"/>
          <w:highlight w:val="none"/>
        </w:rPr>
        <w:t>格式10、类似项目业绩一览表</w:t>
      </w:r>
      <w:bookmarkEnd w:id="180"/>
    </w:p>
    <w:p w14:paraId="2DDA0474">
      <w:pPr>
        <w:spacing w:line="520" w:lineRule="exact"/>
        <w:jc w:val="center"/>
        <w:rPr>
          <w:rFonts w:ascii="宋体" w:hAnsi="宋体" w:eastAsia="宋体" w:cs="Times New Roman"/>
          <w:b/>
          <w:bCs/>
          <w:color w:val="auto"/>
          <w:sz w:val="28"/>
          <w:szCs w:val="24"/>
          <w:highlight w:val="none"/>
        </w:rPr>
      </w:pPr>
    </w:p>
    <w:p w14:paraId="06DC7C45">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3DC84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287303E">
            <w:pPr>
              <w:spacing w:line="520" w:lineRule="exact"/>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序号</w:t>
            </w:r>
          </w:p>
        </w:tc>
        <w:tc>
          <w:tcPr>
            <w:tcW w:w="2439" w:type="dxa"/>
            <w:noWrap w:val="0"/>
            <w:vAlign w:val="center"/>
          </w:tcPr>
          <w:p w14:paraId="35C24576">
            <w:pPr>
              <w:spacing w:line="520" w:lineRule="exact"/>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项目名称</w:t>
            </w:r>
          </w:p>
        </w:tc>
        <w:tc>
          <w:tcPr>
            <w:tcW w:w="2135" w:type="dxa"/>
            <w:noWrap w:val="0"/>
            <w:vAlign w:val="center"/>
          </w:tcPr>
          <w:p w14:paraId="787AF304">
            <w:pPr>
              <w:spacing w:line="520" w:lineRule="exact"/>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签订时间</w:t>
            </w:r>
          </w:p>
        </w:tc>
        <w:tc>
          <w:tcPr>
            <w:tcW w:w="1358" w:type="dxa"/>
            <w:noWrap w:val="0"/>
            <w:vAlign w:val="center"/>
          </w:tcPr>
          <w:p w14:paraId="061D3525">
            <w:pPr>
              <w:spacing w:line="520" w:lineRule="exact"/>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采购单位</w:t>
            </w:r>
          </w:p>
        </w:tc>
        <w:tc>
          <w:tcPr>
            <w:tcW w:w="2418" w:type="dxa"/>
            <w:noWrap w:val="0"/>
            <w:vAlign w:val="center"/>
          </w:tcPr>
          <w:p w14:paraId="35948E3C">
            <w:pPr>
              <w:spacing w:line="520" w:lineRule="exact"/>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合同金额</w:t>
            </w:r>
          </w:p>
        </w:tc>
      </w:tr>
      <w:tr w14:paraId="15776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1C0CF2A">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4EF4E316">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53AF4923">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7157FA61">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650D8477">
            <w:pPr>
              <w:spacing w:line="520" w:lineRule="exact"/>
              <w:jc w:val="center"/>
              <w:rPr>
                <w:rFonts w:ascii="宋体" w:hAnsi="宋体" w:eastAsia="宋体" w:cs="Times New Roman"/>
                <w:color w:val="auto"/>
                <w:sz w:val="28"/>
                <w:szCs w:val="24"/>
                <w:highlight w:val="none"/>
              </w:rPr>
            </w:pPr>
          </w:p>
        </w:tc>
      </w:tr>
      <w:tr w14:paraId="0DE0C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DACF7CE">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5BCEAEB9">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57E279EE">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3BA93048">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67609207">
            <w:pPr>
              <w:spacing w:line="520" w:lineRule="exact"/>
              <w:jc w:val="center"/>
              <w:rPr>
                <w:rFonts w:ascii="宋体" w:hAnsi="宋体" w:eastAsia="宋体" w:cs="Times New Roman"/>
                <w:color w:val="auto"/>
                <w:sz w:val="28"/>
                <w:szCs w:val="24"/>
                <w:highlight w:val="none"/>
              </w:rPr>
            </w:pPr>
          </w:p>
        </w:tc>
      </w:tr>
      <w:tr w14:paraId="32E6F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7600C74">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6D92AC11">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282263B5">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50AF0914">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5AEF27E5">
            <w:pPr>
              <w:spacing w:line="520" w:lineRule="exact"/>
              <w:jc w:val="center"/>
              <w:rPr>
                <w:rFonts w:ascii="宋体" w:hAnsi="宋体" w:eastAsia="宋体" w:cs="Times New Roman"/>
                <w:color w:val="auto"/>
                <w:sz w:val="28"/>
                <w:szCs w:val="24"/>
                <w:highlight w:val="none"/>
              </w:rPr>
            </w:pPr>
          </w:p>
        </w:tc>
      </w:tr>
      <w:tr w14:paraId="04239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790842F">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7DD74993">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588B1745">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685A09FC">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33FEE6EA">
            <w:pPr>
              <w:spacing w:line="520" w:lineRule="exact"/>
              <w:jc w:val="center"/>
              <w:rPr>
                <w:rFonts w:ascii="宋体" w:hAnsi="宋体" w:eastAsia="宋体" w:cs="Times New Roman"/>
                <w:color w:val="auto"/>
                <w:sz w:val="28"/>
                <w:szCs w:val="24"/>
                <w:highlight w:val="none"/>
              </w:rPr>
            </w:pPr>
          </w:p>
        </w:tc>
      </w:tr>
      <w:tr w14:paraId="13308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4F4BE41">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681E5F08">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44A0354B">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3AC27617">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5723E2D1">
            <w:pPr>
              <w:spacing w:line="520" w:lineRule="exact"/>
              <w:jc w:val="center"/>
              <w:rPr>
                <w:rFonts w:ascii="宋体" w:hAnsi="宋体" w:eastAsia="宋体" w:cs="Times New Roman"/>
                <w:color w:val="auto"/>
                <w:sz w:val="28"/>
                <w:szCs w:val="24"/>
                <w:highlight w:val="none"/>
              </w:rPr>
            </w:pPr>
          </w:p>
        </w:tc>
      </w:tr>
      <w:tr w14:paraId="6A984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3DD90EB">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55E76EA3">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700FCE69">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1D034959">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42B50454">
            <w:pPr>
              <w:spacing w:line="520" w:lineRule="exact"/>
              <w:jc w:val="center"/>
              <w:rPr>
                <w:rFonts w:ascii="宋体" w:hAnsi="宋体" w:eastAsia="宋体" w:cs="Times New Roman"/>
                <w:color w:val="auto"/>
                <w:sz w:val="28"/>
                <w:szCs w:val="24"/>
                <w:highlight w:val="none"/>
              </w:rPr>
            </w:pPr>
          </w:p>
        </w:tc>
      </w:tr>
      <w:tr w14:paraId="2EAD5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B167F1D">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28F7CA7F">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2F90D89F">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393C4F79">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26FBEAE5">
            <w:pPr>
              <w:spacing w:line="520" w:lineRule="exact"/>
              <w:jc w:val="center"/>
              <w:rPr>
                <w:rFonts w:ascii="宋体" w:hAnsi="宋体" w:eastAsia="宋体" w:cs="Times New Roman"/>
                <w:color w:val="auto"/>
                <w:sz w:val="28"/>
                <w:szCs w:val="24"/>
                <w:highlight w:val="none"/>
              </w:rPr>
            </w:pPr>
          </w:p>
        </w:tc>
      </w:tr>
      <w:tr w14:paraId="4F1FC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6C4EDFE">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1A9FF95E">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3CFDE185">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34E8242F">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4A60A62E">
            <w:pPr>
              <w:spacing w:line="520" w:lineRule="exact"/>
              <w:jc w:val="center"/>
              <w:rPr>
                <w:rFonts w:ascii="宋体" w:hAnsi="宋体" w:eastAsia="宋体" w:cs="Times New Roman"/>
                <w:color w:val="auto"/>
                <w:sz w:val="28"/>
                <w:szCs w:val="24"/>
                <w:highlight w:val="none"/>
              </w:rPr>
            </w:pPr>
          </w:p>
        </w:tc>
      </w:tr>
      <w:tr w14:paraId="303C6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626CA51">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7BB72F86">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52B9ED57">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55701036">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2EF9D290">
            <w:pPr>
              <w:spacing w:line="520" w:lineRule="exact"/>
              <w:jc w:val="center"/>
              <w:rPr>
                <w:rFonts w:ascii="宋体" w:hAnsi="宋体" w:eastAsia="宋体" w:cs="Times New Roman"/>
                <w:color w:val="auto"/>
                <w:sz w:val="28"/>
                <w:szCs w:val="24"/>
                <w:highlight w:val="none"/>
              </w:rPr>
            </w:pPr>
          </w:p>
        </w:tc>
      </w:tr>
      <w:tr w14:paraId="79141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1155307E">
            <w:pPr>
              <w:spacing w:line="520" w:lineRule="exact"/>
              <w:jc w:val="center"/>
              <w:rPr>
                <w:rFonts w:ascii="宋体" w:hAnsi="宋体" w:eastAsia="宋体" w:cs="Times New Roman"/>
                <w:color w:val="auto"/>
                <w:sz w:val="28"/>
                <w:szCs w:val="24"/>
                <w:highlight w:val="none"/>
              </w:rPr>
            </w:pPr>
          </w:p>
        </w:tc>
        <w:tc>
          <w:tcPr>
            <w:tcW w:w="2439" w:type="dxa"/>
            <w:noWrap w:val="0"/>
            <w:vAlign w:val="center"/>
          </w:tcPr>
          <w:p w14:paraId="79AB5A23">
            <w:pPr>
              <w:spacing w:line="520" w:lineRule="exact"/>
              <w:jc w:val="center"/>
              <w:rPr>
                <w:rFonts w:ascii="宋体" w:hAnsi="宋体" w:eastAsia="宋体" w:cs="Times New Roman"/>
                <w:color w:val="auto"/>
                <w:sz w:val="28"/>
                <w:szCs w:val="24"/>
                <w:highlight w:val="none"/>
              </w:rPr>
            </w:pPr>
          </w:p>
        </w:tc>
        <w:tc>
          <w:tcPr>
            <w:tcW w:w="2135" w:type="dxa"/>
            <w:noWrap w:val="0"/>
            <w:vAlign w:val="center"/>
          </w:tcPr>
          <w:p w14:paraId="626C6699">
            <w:pPr>
              <w:spacing w:line="520" w:lineRule="exact"/>
              <w:jc w:val="center"/>
              <w:rPr>
                <w:rFonts w:ascii="宋体" w:hAnsi="宋体" w:eastAsia="宋体" w:cs="Times New Roman"/>
                <w:color w:val="auto"/>
                <w:sz w:val="28"/>
                <w:szCs w:val="24"/>
                <w:highlight w:val="none"/>
              </w:rPr>
            </w:pPr>
          </w:p>
        </w:tc>
        <w:tc>
          <w:tcPr>
            <w:tcW w:w="1358" w:type="dxa"/>
            <w:noWrap w:val="0"/>
            <w:vAlign w:val="center"/>
          </w:tcPr>
          <w:p w14:paraId="528D611C">
            <w:pPr>
              <w:spacing w:line="520" w:lineRule="exact"/>
              <w:jc w:val="center"/>
              <w:rPr>
                <w:rFonts w:ascii="宋体" w:hAnsi="宋体" w:eastAsia="宋体" w:cs="Times New Roman"/>
                <w:color w:val="auto"/>
                <w:sz w:val="28"/>
                <w:szCs w:val="24"/>
                <w:highlight w:val="none"/>
              </w:rPr>
            </w:pPr>
          </w:p>
        </w:tc>
        <w:tc>
          <w:tcPr>
            <w:tcW w:w="2418" w:type="dxa"/>
            <w:noWrap w:val="0"/>
            <w:vAlign w:val="center"/>
          </w:tcPr>
          <w:p w14:paraId="04AC8ED3">
            <w:pPr>
              <w:spacing w:line="520" w:lineRule="exact"/>
              <w:jc w:val="center"/>
              <w:rPr>
                <w:rFonts w:ascii="宋体" w:hAnsi="宋体" w:eastAsia="宋体" w:cs="Times New Roman"/>
                <w:color w:val="auto"/>
                <w:sz w:val="28"/>
                <w:szCs w:val="24"/>
                <w:highlight w:val="none"/>
              </w:rPr>
            </w:pPr>
          </w:p>
        </w:tc>
      </w:tr>
    </w:tbl>
    <w:p w14:paraId="29D792DB">
      <w:pPr>
        <w:spacing w:line="400" w:lineRule="exact"/>
        <w:jc w:val="center"/>
        <w:rPr>
          <w:rFonts w:ascii="宋体" w:hAnsi="宋体" w:eastAsia="宋体" w:cs="Times New Roman"/>
          <w:b/>
          <w:color w:val="auto"/>
          <w:sz w:val="28"/>
          <w:szCs w:val="30"/>
          <w:highlight w:val="none"/>
        </w:rPr>
      </w:pPr>
    </w:p>
    <w:p w14:paraId="7C71A9F5">
      <w:pPr>
        <w:spacing w:line="400" w:lineRule="exact"/>
        <w:rPr>
          <w:rFonts w:ascii="宋体" w:hAnsi="宋体" w:eastAsia="宋体" w:cs="Times New Roman"/>
          <w:b/>
          <w:color w:val="auto"/>
          <w:sz w:val="28"/>
          <w:szCs w:val="30"/>
          <w:highlight w:val="none"/>
        </w:rPr>
      </w:pPr>
    </w:p>
    <w:p w14:paraId="56AAAE6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7AD3B5DC">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9F1A43D">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75D9085B">
      <w:pPr>
        <w:spacing w:line="360" w:lineRule="auto"/>
        <w:ind w:firstLine="480"/>
        <w:rPr>
          <w:rFonts w:ascii="宋体" w:hAnsi="Courier New" w:eastAsia="宋体" w:cs="Times New Roman"/>
          <w:color w:val="auto"/>
          <w:sz w:val="24"/>
          <w:szCs w:val="24"/>
          <w:highlight w:val="none"/>
        </w:rPr>
      </w:pPr>
    </w:p>
    <w:p w14:paraId="48C16CBD">
      <w:pPr>
        <w:keepNext/>
        <w:keepLines/>
        <w:outlineLvl w:val="1"/>
        <w:rPr>
          <w:rFonts w:ascii="Arial" w:hAnsi="Arial" w:eastAsia="黑体" w:cs="Times New Roman"/>
          <w:b/>
          <w:bCs/>
          <w:color w:val="auto"/>
          <w:sz w:val="32"/>
          <w:szCs w:val="32"/>
          <w:highlight w:val="none"/>
        </w:rPr>
      </w:pPr>
      <w:r>
        <w:rPr>
          <w:rFonts w:ascii="Arial" w:hAnsi="Arial" w:eastAsia="黑体" w:cs="Times New Roman"/>
          <w:b/>
          <w:bCs/>
          <w:color w:val="auto"/>
          <w:sz w:val="32"/>
          <w:szCs w:val="32"/>
          <w:highlight w:val="none"/>
        </w:rPr>
        <w:br w:type="page" w:clear="all"/>
      </w:r>
      <w:bookmarkStart w:id="181" w:name="_Toc8730"/>
      <w:r>
        <w:rPr>
          <w:rFonts w:hint="eastAsia" w:ascii="Arial" w:hAnsi="Arial" w:eastAsia="黑体" w:cs="Times New Roman"/>
          <w:b/>
          <w:bCs/>
          <w:color w:val="auto"/>
          <w:sz w:val="24"/>
          <w:szCs w:val="32"/>
          <w:highlight w:val="none"/>
        </w:rPr>
        <w:t>格式11、项目需求响应</w:t>
      </w:r>
      <w:bookmarkEnd w:id="181"/>
    </w:p>
    <w:p w14:paraId="6C9918CE">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项目需求响应</w:t>
      </w:r>
    </w:p>
    <w:p w14:paraId="3E396708">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Cs w:val="24"/>
          <w:highlight w:val="none"/>
        </w:rPr>
        <w:t>（供应商按“项目需求”等内容要求自行填写，格式自定）</w:t>
      </w:r>
    </w:p>
    <w:p w14:paraId="3893B7FE">
      <w:pPr>
        <w:spacing w:line="520" w:lineRule="exact"/>
        <w:rPr>
          <w:rFonts w:ascii="宋体" w:hAnsi="宋体" w:eastAsia="宋体" w:cs="Times New Roman"/>
          <w:color w:val="auto"/>
          <w:sz w:val="24"/>
          <w:szCs w:val="24"/>
          <w:highlight w:val="none"/>
        </w:rPr>
      </w:pPr>
    </w:p>
    <w:p w14:paraId="3447DF3D">
      <w:pPr>
        <w:spacing w:line="520" w:lineRule="exact"/>
        <w:rPr>
          <w:rFonts w:ascii="宋体" w:hAnsi="宋体" w:eastAsia="宋体" w:cs="Times New Roman"/>
          <w:color w:val="auto"/>
          <w:sz w:val="24"/>
          <w:szCs w:val="24"/>
          <w:highlight w:val="none"/>
        </w:rPr>
      </w:pPr>
    </w:p>
    <w:p w14:paraId="4F324643">
      <w:pPr>
        <w:spacing w:line="520" w:lineRule="exact"/>
        <w:rPr>
          <w:rFonts w:ascii="宋体" w:hAnsi="宋体" w:eastAsia="宋体" w:cs="Times New Roman"/>
          <w:color w:val="auto"/>
          <w:sz w:val="24"/>
          <w:szCs w:val="24"/>
          <w:highlight w:val="none"/>
        </w:rPr>
      </w:pPr>
    </w:p>
    <w:p w14:paraId="1A064EE9">
      <w:pPr>
        <w:spacing w:line="520" w:lineRule="exact"/>
        <w:rPr>
          <w:rFonts w:ascii="宋体" w:hAnsi="宋体" w:eastAsia="宋体" w:cs="Times New Roman"/>
          <w:color w:val="auto"/>
          <w:sz w:val="24"/>
          <w:szCs w:val="24"/>
          <w:highlight w:val="none"/>
        </w:rPr>
      </w:pPr>
    </w:p>
    <w:p w14:paraId="2397EA91">
      <w:pPr>
        <w:spacing w:line="520" w:lineRule="exact"/>
        <w:rPr>
          <w:rFonts w:ascii="宋体" w:hAnsi="宋体" w:eastAsia="宋体" w:cs="Times New Roman"/>
          <w:color w:val="auto"/>
          <w:sz w:val="24"/>
          <w:szCs w:val="24"/>
          <w:highlight w:val="none"/>
        </w:rPr>
      </w:pPr>
    </w:p>
    <w:p w14:paraId="02616948">
      <w:pPr>
        <w:spacing w:line="520" w:lineRule="exact"/>
        <w:rPr>
          <w:rFonts w:ascii="宋体" w:hAnsi="宋体" w:eastAsia="宋体" w:cs="Times New Roman"/>
          <w:color w:val="auto"/>
          <w:sz w:val="24"/>
          <w:szCs w:val="24"/>
          <w:highlight w:val="none"/>
        </w:rPr>
      </w:pPr>
    </w:p>
    <w:p w14:paraId="0C5A74CA">
      <w:pPr>
        <w:spacing w:line="520" w:lineRule="exact"/>
        <w:rPr>
          <w:rFonts w:ascii="宋体" w:hAnsi="宋体" w:eastAsia="宋体" w:cs="Times New Roman"/>
          <w:color w:val="auto"/>
          <w:sz w:val="24"/>
          <w:szCs w:val="24"/>
          <w:highlight w:val="none"/>
        </w:rPr>
      </w:pPr>
    </w:p>
    <w:p w14:paraId="727A4E92">
      <w:pPr>
        <w:spacing w:line="520" w:lineRule="exact"/>
        <w:rPr>
          <w:rFonts w:ascii="宋体" w:hAnsi="宋体" w:eastAsia="宋体" w:cs="Times New Roman"/>
          <w:color w:val="auto"/>
          <w:sz w:val="24"/>
          <w:szCs w:val="24"/>
          <w:highlight w:val="none"/>
        </w:rPr>
      </w:pPr>
    </w:p>
    <w:p w14:paraId="64D1A6FD">
      <w:pPr>
        <w:spacing w:line="520" w:lineRule="exact"/>
        <w:rPr>
          <w:rFonts w:ascii="宋体" w:hAnsi="宋体" w:eastAsia="宋体" w:cs="Times New Roman"/>
          <w:color w:val="auto"/>
          <w:sz w:val="24"/>
          <w:szCs w:val="24"/>
          <w:highlight w:val="none"/>
        </w:rPr>
      </w:pPr>
    </w:p>
    <w:p w14:paraId="66B584BF">
      <w:pPr>
        <w:spacing w:line="520" w:lineRule="exact"/>
        <w:rPr>
          <w:rFonts w:ascii="宋体" w:hAnsi="宋体" w:eastAsia="宋体" w:cs="Times New Roman"/>
          <w:color w:val="auto"/>
          <w:sz w:val="24"/>
          <w:szCs w:val="24"/>
          <w:highlight w:val="none"/>
        </w:rPr>
      </w:pPr>
    </w:p>
    <w:p w14:paraId="39987B83">
      <w:pPr>
        <w:spacing w:line="520" w:lineRule="exact"/>
        <w:rPr>
          <w:rFonts w:ascii="宋体" w:hAnsi="宋体" w:eastAsia="宋体" w:cs="Times New Roman"/>
          <w:color w:val="auto"/>
          <w:sz w:val="24"/>
          <w:szCs w:val="24"/>
          <w:highlight w:val="none"/>
        </w:rPr>
      </w:pPr>
    </w:p>
    <w:p w14:paraId="47789572">
      <w:pPr>
        <w:spacing w:line="520" w:lineRule="exact"/>
        <w:rPr>
          <w:rFonts w:ascii="宋体" w:hAnsi="宋体" w:eastAsia="宋体" w:cs="Times New Roman"/>
          <w:color w:val="auto"/>
          <w:sz w:val="24"/>
          <w:szCs w:val="24"/>
          <w:highlight w:val="none"/>
        </w:rPr>
      </w:pPr>
    </w:p>
    <w:p w14:paraId="1C520E14">
      <w:pPr>
        <w:spacing w:line="520" w:lineRule="exact"/>
        <w:rPr>
          <w:rFonts w:ascii="宋体" w:hAnsi="宋体" w:eastAsia="宋体" w:cs="Times New Roman"/>
          <w:color w:val="auto"/>
          <w:sz w:val="24"/>
          <w:szCs w:val="24"/>
          <w:highlight w:val="none"/>
        </w:rPr>
      </w:pPr>
    </w:p>
    <w:p w14:paraId="5C251D5C">
      <w:pPr>
        <w:spacing w:line="520" w:lineRule="exact"/>
        <w:rPr>
          <w:rFonts w:ascii="宋体" w:hAnsi="宋体" w:eastAsia="宋体" w:cs="Times New Roman"/>
          <w:color w:val="auto"/>
          <w:sz w:val="24"/>
          <w:szCs w:val="24"/>
          <w:highlight w:val="none"/>
        </w:rPr>
      </w:pPr>
    </w:p>
    <w:p w14:paraId="1CC755D1">
      <w:pPr>
        <w:spacing w:line="520" w:lineRule="exact"/>
        <w:rPr>
          <w:rFonts w:ascii="宋体" w:hAnsi="宋体" w:eastAsia="宋体" w:cs="Times New Roman"/>
          <w:color w:val="auto"/>
          <w:sz w:val="24"/>
          <w:szCs w:val="24"/>
          <w:highlight w:val="none"/>
        </w:rPr>
      </w:pPr>
    </w:p>
    <w:p w14:paraId="215FCEA9">
      <w:pPr>
        <w:spacing w:line="520" w:lineRule="exact"/>
        <w:rPr>
          <w:rFonts w:ascii="宋体" w:hAnsi="宋体" w:eastAsia="宋体" w:cs="Times New Roman"/>
          <w:color w:val="auto"/>
          <w:sz w:val="24"/>
          <w:szCs w:val="24"/>
          <w:highlight w:val="none"/>
        </w:rPr>
      </w:pPr>
    </w:p>
    <w:p w14:paraId="3F182FE9">
      <w:pPr>
        <w:spacing w:line="520" w:lineRule="exact"/>
        <w:rPr>
          <w:rFonts w:ascii="宋体" w:hAnsi="宋体" w:eastAsia="宋体" w:cs="Times New Roman"/>
          <w:color w:val="auto"/>
          <w:sz w:val="24"/>
          <w:szCs w:val="24"/>
          <w:highlight w:val="none"/>
        </w:rPr>
      </w:pPr>
    </w:p>
    <w:p w14:paraId="63B72E46">
      <w:pPr>
        <w:spacing w:line="520" w:lineRule="exact"/>
        <w:rPr>
          <w:rFonts w:ascii="宋体" w:hAnsi="宋体" w:eastAsia="宋体" w:cs="Times New Roman"/>
          <w:color w:val="auto"/>
          <w:sz w:val="24"/>
          <w:szCs w:val="24"/>
          <w:highlight w:val="none"/>
        </w:rPr>
      </w:pPr>
    </w:p>
    <w:p w14:paraId="259892FF">
      <w:pPr>
        <w:spacing w:line="400" w:lineRule="exact"/>
        <w:rPr>
          <w:rFonts w:ascii="宋体" w:hAnsi="宋体" w:eastAsia="宋体" w:cs="Times New Roman"/>
          <w:b/>
          <w:color w:val="auto"/>
          <w:sz w:val="28"/>
          <w:szCs w:val="30"/>
          <w:highlight w:val="none"/>
        </w:rPr>
      </w:pPr>
    </w:p>
    <w:p w14:paraId="62AB6C5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3BE156B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21D6B741">
      <w:pPr>
        <w:spacing w:line="360" w:lineRule="auto"/>
        <w:ind w:firstLine="480"/>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29A9A34C">
      <w:pPr>
        <w:pStyle w:val="234"/>
        <w:rPr>
          <w:rFonts w:hint="eastAsia" w:ascii="宋体" w:hAnsi="Courier New" w:eastAsia="宋体" w:cs="Times New Roman"/>
          <w:color w:val="auto"/>
          <w:sz w:val="24"/>
          <w:highlight w:val="none"/>
        </w:rPr>
      </w:pPr>
    </w:p>
    <w:p w14:paraId="399BF7C7">
      <w:pPr>
        <w:pStyle w:val="234"/>
        <w:rPr>
          <w:rFonts w:hint="eastAsia" w:ascii="宋体" w:hAnsi="Courier New" w:eastAsia="宋体" w:cs="Times New Roman"/>
          <w:color w:val="auto"/>
          <w:sz w:val="24"/>
          <w:highlight w:val="none"/>
        </w:rPr>
      </w:pPr>
    </w:p>
    <w:p w14:paraId="51BC6100">
      <w:pPr>
        <w:pStyle w:val="234"/>
        <w:rPr>
          <w:rFonts w:hint="eastAsia" w:ascii="宋体" w:hAnsi="Courier New" w:eastAsia="宋体" w:cs="Times New Roman"/>
          <w:color w:val="auto"/>
          <w:sz w:val="24"/>
          <w:highlight w:val="none"/>
        </w:rPr>
      </w:pPr>
    </w:p>
    <w:p w14:paraId="6E36E074">
      <w:pPr>
        <w:keepNext/>
        <w:keepLines/>
        <w:widowControl w:val="0"/>
        <w:spacing w:before="0" w:after="0" w:line="240" w:lineRule="auto"/>
        <w:jc w:val="both"/>
        <w:outlineLvl w:val="1"/>
        <w:rPr>
          <w:rFonts w:hint="eastAsia" w:ascii="Arial" w:hAnsi="Arial" w:eastAsia="黑体" w:cs="Times New Roman"/>
          <w:b/>
          <w:bCs/>
          <w:color w:val="auto"/>
          <w:sz w:val="24"/>
          <w:szCs w:val="32"/>
          <w:highlight w:val="none"/>
          <w:lang w:val="en-US" w:eastAsia="zh-CN" w:bidi="ar-SA"/>
        </w:rPr>
      </w:pPr>
    </w:p>
    <w:p w14:paraId="7445EA47">
      <w:pPr>
        <w:keepNext/>
        <w:keepLines/>
        <w:outlineLvl w:val="1"/>
        <w:rPr>
          <w:rFonts w:hint="eastAsia" w:ascii="Arial" w:hAnsi="Arial" w:eastAsia="黑体" w:cs="Times New Roman"/>
          <w:b/>
          <w:bCs/>
          <w:color w:val="auto"/>
          <w:sz w:val="24"/>
          <w:szCs w:val="32"/>
          <w:highlight w:val="none"/>
        </w:rPr>
      </w:pPr>
      <w:bookmarkStart w:id="182" w:name="_Toc24070"/>
      <w:r>
        <w:rPr>
          <w:rFonts w:hint="eastAsia" w:ascii="Arial" w:hAnsi="Arial" w:eastAsia="黑体" w:cs="Times New Roman"/>
          <w:b/>
          <w:bCs/>
          <w:color w:val="auto"/>
          <w:sz w:val="24"/>
          <w:szCs w:val="32"/>
          <w:highlight w:val="none"/>
        </w:rPr>
        <w:t>格式12、财务状况报告及税收、社会保障资金缴纳情况承诺函</w:t>
      </w:r>
      <w:bookmarkEnd w:id="182"/>
    </w:p>
    <w:p w14:paraId="6AB31373">
      <w:pPr>
        <w:rPr>
          <w:rFonts w:hint="eastAsia" w:ascii="Times New Roman" w:hAnsi="Times New Roman" w:eastAsia="宋体" w:cs="Times New Roman"/>
          <w:color w:val="auto"/>
          <w:szCs w:val="24"/>
          <w:highlight w:val="none"/>
        </w:rPr>
      </w:pPr>
    </w:p>
    <w:p w14:paraId="692CF8BC">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2C9F416B">
      <w:pPr>
        <w:jc w:val="left"/>
        <w:rPr>
          <w:rFonts w:ascii="MS Mincho" w:hAnsi="Calibri" w:eastAsia="宋体" w:cs="Times New Roman"/>
          <w:color w:val="auto"/>
          <w:szCs w:val="24"/>
          <w:highlight w:val="none"/>
        </w:rPr>
      </w:pPr>
    </w:p>
    <w:p w14:paraId="2B3DAB0A">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致：</w:t>
      </w:r>
      <w:r>
        <w:rPr>
          <w:rFonts w:hint="eastAsia" w:ascii="宋体" w:hAnsi="宋体" w:eastAsia="宋体" w:cs="Times New Roman"/>
          <w:color w:val="auto"/>
          <w:sz w:val="24"/>
          <w:szCs w:val="24"/>
          <w:highlight w:val="none"/>
          <w:u w:val="single"/>
        </w:rPr>
        <w:t>【采购单位】</w:t>
      </w:r>
    </w:p>
    <w:p w14:paraId="10D4A15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我方</w:t>
      </w:r>
      <w:r>
        <w:rPr>
          <w:rFonts w:hint="eastAsia" w:ascii="宋体" w:hAnsi="宋体" w:eastAsia="宋体" w:cs="Times New Roman"/>
          <w:color w:val="auto"/>
          <w:sz w:val="24"/>
          <w:szCs w:val="24"/>
          <w:highlight w:val="none"/>
          <w:u w:val="single"/>
        </w:rPr>
        <w:t xml:space="preserve"> 供应商名称 </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rPr>
        <w:t>【标段名称】</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rPr>
        <w:t>【标段编号】</w:t>
      </w:r>
      <w:r>
        <w:rPr>
          <w:rFonts w:hint="eastAsia" w:ascii="宋体" w:hAnsi="宋体"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C1F5697">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（1）具有良好的商业信誉和健全的财务会计制度（财务状况报告）；</w:t>
      </w:r>
    </w:p>
    <w:p w14:paraId="5A0DD479">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（2）有依法缴纳税收和社会保障资金的良好记录。</w:t>
      </w:r>
    </w:p>
    <w:p w14:paraId="7D695E8D">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5BF217F">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特此承诺</w:t>
      </w:r>
    </w:p>
    <w:p w14:paraId="4F201730">
      <w:pPr>
        <w:spacing w:line="360" w:lineRule="auto"/>
        <w:ind w:firstLine="480"/>
        <w:rPr>
          <w:rFonts w:ascii="宋体" w:hAnsi="宋体" w:eastAsia="宋体" w:cs="Times New Roman"/>
          <w:color w:val="auto"/>
          <w:sz w:val="24"/>
          <w:szCs w:val="24"/>
          <w:highlight w:val="none"/>
        </w:rPr>
      </w:pPr>
    </w:p>
    <w:p w14:paraId="740CDA8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投标人（盖章）：</w:t>
      </w:r>
    </w:p>
    <w:p w14:paraId="3419FF3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法定代表人或委托代理人（签字或盖章）：</w:t>
      </w:r>
    </w:p>
    <w:p w14:paraId="12D5FE97">
      <w:pPr>
        <w:spacing w:line="520" w:lineRule="exact"/>
        <w:jc w:val="left"/>
        <w:rPr>
          <w:rFonts w:ascii="宋体" w:hAnsi="宋体" w:eastAsia="宋体" w:cs="Times New Roman"/>
          <w:b/>
          <w:color w:val="auto"/>
          <w:szCs w:val="21"/>
          <w:highlight w:val="none"/>
        </w:rPr>
      </w:pPr>
      <w:r>
        <w:rPr>
          <w:rFonts w:hint="eastAsia" w:ascii="宋体" w:hAnsi="宋体" w:eastAsia="宋体" w:cs="Times New Roman"/>
          <w:color w:val="auto"/>
          <w:sz w:val="24"/>
          <w:szCs w:val="24"/>
          <w:highlight w:val="none"/>
        </w:rPr>
        <w:t>日期：    年     月     日</w:t>
      </w:r>
    </w:p>
    <w:p w14:paraId="09B66EF8">
      <w:pPr>
        <w:widowControl/>
        <w:jc w:val="left"/>
        <w:rPr>
          <w:rFonts w:ascii="Arial" w:hAnsi="Arial" w:eastAsia="黑体" w:cs="Times New Roman"/>
          <w:b/>
          <w:bCs/>
          <w:color w:val="auto"/>
          <w:sz w:val="24"/>
          <w:szCs w:val="32"/>
          <w:highlight w:val="none"/>
        </w:rPr>
      </w:pPr>
      <w:r>
        <w:rPr>
          <w:rFonts w:ascii="Arial" w:hAnsi="Arial" w:eastAsia="黑体" w:cs="Times New Roman"/>
          <w:b/>
          <w:bCs/>
          <w:color w:val="auto"/>
          <w:sz w:val="24"/>
          <w:szCs w:val="32"/>
          <w:highlight w:val="none"/>
        </w:rPr>
        <w:br w:type="page" w:clear="all"/>
      </w:r>
    </w:p>
    <w:p w14:paraId="083E1102">
      <w:pPr>
        <w:keepNext/>
        <w:keepLines/>
        <w:outlineLvl w:val="1"/>
        <w:rPr>
          <w:rFonts w:ascii="Arial" w:hAnsi="Arial" w:eastAsia="黑体" w:cs="Times New Roman"/>
          <w:b/>
          <w:bCs/>
          <w:color w:val="auto"/>
          <w:sz w:val="24"/>
          <w:szCs w:val="32"/>
          <w:highlight w:val="none"/>
        </w:rPr>
      </w:pPr>
      <w:bookmarkStart w:id="183" w:name="_Toc5975"/>
      <w:r>
        <w:rPr>
          <w:rFonts w:hint="eastAsia" w:ascii="Arial" w:hAnsi="Arial" w:eastAsia="黑体" w:cs="Times New Roman"/>
          <w:b/>
          <w:bCs/>
          <w:color w:val="auto"/>
          <w:sz w:val="24"/>
          <w:szCs w:val="32"/>
          <w:highlight w:val="none"/>
        </w:rPr>
        <w:t>格式13、其他材料</w:t>
      </w:r>
      <w:bookmarkEnd w:id="183"/>
    </w:p>
    <w:p w14:paraId="7942E0EC">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其它材料</w:t>
      </w:r>
    </w:p>
    <w:p w14:paraId="047D8A61">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（投标人对招标文件响应有必要提供的材料或评标办法中要求提供的材料）</w:t>
      </w:r>
    </w:p>
    <w:p w14:paraId="6D438160">
      <w:pPr>
        <w:spacing w:line="520" w:lineRule="exact"/>
        <w:rPr>
          <w:rFonts w:ascii="宋体" w:hAnsi="宋体" w:eastAsia="宋体" w:cs="Times New Roman"/>
          <w:color w:val="auto"/>
          <w:sz w:val="24"/>
          <w:szCs w:val="24"/>
          <w:highlight w:val="none"/>
        </w:rPr>
      </w:pPr>
    </w:p>
    <w:p w14:paraId="6325E701">
      <w:pPr>
        <w:spacing w:line="520" w:lineRule="exact"/>
        <w:rPr>
          <w:rFonts w:ascii="宋体" w:hAnsi="宋体" w:eastAsia="宋体" w:cs="Times New Roman"/>
          <w:color w:val="auto"/>
          <w:sz w:val="24"/>
          <w:szCs w:val="24"/>
          <w:highlight w:val="none"/>
        </w:rPr>
      </w:pPr>
    </w:p>
    <w:p w14:paraId="62D88513">
      <w:pPr>
        <w:spacing w:line="520" w:lineRule="exact"/>
        <w:rPr>
          <w:rFonts w:ascii="宋体" w:hAnsi="宋体" w:eastAsia="宋体" w:cs="Times New Roman"/>
          <w:color w:val="auto"/>
          <w:sz w:val="24"/>
          <w:szCs w:val="24"/>
          <w:highlight w:val="none"/>
        </w:rPr>
      </w:pPr>
    </w:p>
    <w:p w14:paraId="64C984AF">
      <w:pPr>
        <w:spacing w:line="520" w:lineRule="exact"/>
        <w:rPr>
          <w:rFonts w:ascii="宋体" w:hAnsi="宋体" w:eastAsia="宋体" w:cs="Times New Roman"/>
          <w:color w:val="auto"/>
          <w:sz w:val="24"/>
          <w:szCs w:val="24"/>
          <w:highlight w:val="none"/>
        </w:rPr>
      </w:pPr>
    </w:p>
    <w:p w14:paraId="06A8539A">
      <w:pPr>
        <w:spacing w:line="520" w:lineRule="exact"/>
        <w:rPr>
          <w:rFonts w:ascii="宋体" w:hAnsi="宋体" w:eastAsia="宋体" w:cs="Times New Roman"/>
          <w:color w:val="auto"/>
          <w:sz w:val="24"/>
          <w:szCs w:val="24"/>
          <w:highlight w:val="none"/>
        </w:rPr>
      </w:pPr>
    </w:p>
    <w:p w14:paraId="7693D646">
      <w:pPr>
        <w:spacing w:line="520" w:lineRule="exact"/>
        <w:rPr>
          <w:rFonts w:ascii="宋体" w:hAnsi="宋体" w:eastAsia="宋体" w:cs="Times New Roman"/>
          <w:color w:val="auto"/>
          <w:sz w:val="24"/>
          <w:szCs w:val="24"/>
          <w:highlight w:val="none"/>
        </w:rPr>
      </w:pPr>
    </w:p>
    <w:p w14:paraId="1C32A670">
      <w:pPr>
        <w:spacing w:line="520" w:lineRule="exact"/>
        <w:rPr>
          <w:rFonts w:ascii="宋体" w:hAnsi="宋体" w:eastAsia="宋体" w:cs="Times New Roman"/>
          <w:color w:val="auto"/>
          <w:sz w:val="24"/>
          <w:szCs w:val="24"/>
          <w:highlight w:val="none"/>
        </w:rPr>
      </w:pPr>
    </w:p>
    <w:p w14:paraId="0FD21991">
      <w:pPr>
        <w:spacing w:line="520" w:lineRule="exact"/>
        <w:rPr>
          <w:rFonts w:ascii="宋体" w:hAnsi="宋体" w:eastAsia="宋体" w:cs="Times New Roman"/>
          <w:color w:val="auto"/>
          <w:sz w:val="24"/>
          <w:szCs w:val="24"/>
          <w:highlight w:val="none"/>
        </w:rPr>
      </w:pPr>
    </w:p>
    <w:p w14:paraId="05E87A2C">
      <w:pPr>
        <w:spacing w:line="520" w:lineRule="exact"/>
        <w:rPr>
          <w:rFonts w:ascii="宋体" w:hAnsi="宋体" w:eastAsia="宋体" w:cs="Times New Roman"/>
          <w:color w:val="auto"/>
          <w:sz w:val="24"/>
          <w:szCs w:val="24"/>
          <w:highlight w:val="none"/>
        </w:rPr>
      </w:pPr>
    </w:p>
    <w:p w14:paraId="63DD555C">
      <w:pPr>
        <w:spacing w:line="520" w:lineRule="exact"/>
        <w:rPr>
          <w:rFonts w:ascii="宋体" w:hAnsi="宋体" w:eastAsia="宋体" w:cs="Times New Roman"/>
          <w:color w:val="auto"/>
          <w:sz w:val="24"/>
          <w:szCs w:val="24"/>
          <w:highlight w:val="none"/>
        </w:rPr>
      </w:pPr>
    </w:p>
    <w:p w14:paraId="04625095">
      <w:pPr>
        <w:spacing w:line="520" w:lineRule="exact"/>
        <w:rPr>
          <w:rFonts w:ascii="宋体" w:hAnsi="宋体" w:eastAsia="宋体" w:cs="Times New Roman"/>
          <w:color w:val="auto"/>
          <w:sz w:val="24"/>
          <w:szCs w:val="24"/>
          <w:highlight w:val="none"/>
        </w:rPr>
      </w:pPr>
    </w:p>
    <w:p w14:paraId="300928E4">
      <w:pPr>
        <w:spacing w:line="520" w:lineRule="exact"/>
        <w:rPr>
          <w:rFonts w:ascii="宋体" w:hAnsi="宋体" w:eastAsia="宋体" w:cs="Times New Roman"/>
          <w:color w:val="auto"/>
          <w:sz w:val="24"/>
          <w:szCs w:val="24"/>
          <w:highlight w:val="none"/>
        </w:rPr>
      </w:pPr>
    </w:p>
    <w:p w14:paraId="796D2066">
      <w:pPr>
        <w:spacing w:line="520" w:lineRule="exact"/>
        <w:rPr>
          <w:rFonts w:ascii="宋体" w:hAnsi="宋体" w:eastAsia="宋体" w:cs="Times New Roman"/>
          <w:color w:val="auto"/>
          <w:sz w:val="24"/>
          <w:szCs w:val="24"/>
          <w:highlight w:val="none"/>
        </w:rPr>
      </w:pPr>
    </w:p>
    <w:p w14:paraId="15E015D1">
      <w:pPr>
        <w:spacing w:line="520" w:lineRule="exact"/>
        <w:rPr>
          <w:rFonts w:ascii="宋体" w:hAnsi="宋体" w:eastAsia="宋体" w:cs="Times New Roman"/>
          <w:color w:val="auto"/>
          <w:sz w:val="24"/>
          <w:szCs w:val="24"/>
          <w:highlight w:val="none"/>
        </w:rPr>
      </w:pPr>
    </w:p>
    <w:p w14:paraId="4723EF64">
      <w:pPr>
        <w:spacing w:line="520" w:lineRule="exact"/>
        <w:rPr>
          <w:rFonts w:ascii="宋体" w:hAnsi="宋体" w:eastAsia="宋体" w:cs="Times New Roman"/>
          <w:color w:val="auto"/>
          <w:sz w:val="24"/>
          <w:szCs w:val="24"/>
          <w:highlight w:val="none"/>
        </w:rPr>
      </w:pPr>
    </w:p>
    <w:p w14:paraId="4063A3B8">
      <w:pPr>
        <w:spacing w:line="520" w:lineRule="exact"/>
        <w:rPr>
          <w:rFonts w:ascii="宋体" w:hAnsi="宋体" w:eastAsia="宋体" w:cs="Times New Roman"/>
          <w:color w:val="auto"/>
          <w:sz w:val="24"/>
          <w:szCs w:val="24"/>
          <w:highlight w:val="none"/>
        </w:rPr>
      </w:pPr>
    </w:p>
    <w:p w14:paraId="60F312C2">
      <w:pPr>
        <w:spacing w:line="520" w:lineRule="exact"/>
        <w:rPr>
          <w:rFonts w:ascii="宋体" w:hAnsi="宋体" w:eastAsia="宋体" w:cs="Times New Roman"/>
          <w:color w:val="auto"/>
          <w:sz w:val="24"/>
          <w:szCs w:val="24"/>
          <w:highlight w:val="none"/>
        </w:rPr>
      </w:pPr>
    </w:p>
    <w:p w14:paraId="169CBBC3">
      <w:pPr>
        <w:spacing w:line="400" w:lineRule="exact"/>
        <w:rPr>
          <w:rFonts w:ascii="宋体" w:hAnsi="宋体" w:eastAsia="宋体" w:cs="Times New Roman"/>
          <w:b/>
          <w:color w:val="auto"/>
          <w:sz w:val="28"/>
          <w:szCs w:val="30"/>
          <w:highlight w:val="none"/>
        </w:rPr>
      </w:pPr>
    </w:p>
    <w:p w14:paraId="0479AE0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CEFA25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BBF0703">
      <w:pPr>
        <w:spacing w:line="360" w:lineRule="auto"/>
        <w:ind w:firstLine="480"/>
        <w:rPr>
          <w:rFonts w:hint="eastAsia" w:ascii="宋体" w:hAnsi="Courier New"/>
          <w:color w:val="auto"/>
          <w:sz w:val="24"/>
          <w:highlight w:val="none"/>
        </w:rPr>
        <w:sectPr>
          <w:headerReference r:id="rId10" w:type="default"/>
          <w:footerReference r:id="rId11" w:type="default"/>
          <w:footerReference r:id="rId12" w:type="even"/>
          <w:type w:val="oddPage"/>
          <w:pgSz w:w="11906" w:h="16838"/>
          <w:pgMar w:top="1440" w:right="1134" w:bottom="1440" w:left="1418" w:header="851" w:footer="992" w:gutter="0"/>
          <w:pgNumType w:fmt="decimal"/>
          <w:cols w:space="1701" w:num="1"/>
          <w:titlePg/>
          <w:docGrid w:linePitch="360" w:charSpace="0"/>
        </w:sectPr>
      </w:pPr>
      <w:r>
        <w:rPr>
          <w:rFonts w:hint="eastAsia" w:ascii="宋体" w:hAnsi="Courier New" w:eastAsia="宋体" w:cs="Times New Roman"/>
          <w:color w:val="auto"/>
          <w:sz w:val="24"/>
          <w:szCs w:val="24"/>
          <w:highlight w:val="none"/>
        </w:rPr>
        <w:t>日期：    年     月     日</w:t>
      </w:r>
      <w:r>
        <w:rPr>
          <w:rFonts w:hint="eastAsia" w:ascii="宋体" w:hAnsi="Courier New"/>
          <w:color w:val="auto"/>
          <w:sz w:val="24"/>
          <w:highlight w:val="none"/>
        </w:rPr>
        <w:br w:type="page" w:clear="all"/>
      </w:r>
    </w:p>
    <w:p w14:paraId="42E5A032">
      <w:pPr>
        <w:keepNext/>
        <w:keepLines/>
        <w:widowControl w:val="0"/>
        <w:numPr>
          <w:ilvl w:val="0"/>
          <w:numId w:val="0"/>
        </w:numPr>
        <w:spacing w:before="0" w:after="0" w:line="240" w:lineRule="auto"/>
        <w:jc w:val="both"/>
        <w:outlineLvl w:val="1"/>
        <w:rPr>
          <w:rFonts w:hint="eastAsia" w:ascii="Cambria" w:hAnsi="Cambria" w:eastAsia="黑体" w:cs="Times New Roman"/>
          <w:b/>
          <w:bCs/>
          <w:color w:val="auto"/>
          <w:sz w:val="32"/>
          <w:szCs w:val="32"/>
          <w:highlight w:val="none"/>
          <w:lang w:val="en-US" w:eastAsia="zh-CN" w:bidi="ar-SA"/>
        </w:rPr>
      </w:pPr>
      <w:r>
        <w:rPr>
          <w:rFonts w:hint="eastAsia" w:ascii="Arial" w:hAnsi="Arial" w:eastAsia="黑体" w:cs="Times New Roman"/>
          <w:b/>
          <w:bCs/>
          <w:color w:val="auto"/>
          <w:sz w:val="24"/>
          <w:szCs w:val="32"/>
          <w:highlight w:val="none"/>
        </w:rPr>
        <w:t>格式1</w:t>
      </w:r>
      <w:r>
        <w:rPr>
          <w:rFonts w:hint="eastAsia" w:ascii="Arial" w:hAnsi="Arial" w:eastAsia="黑体" w:cs="Times New Roman"/>
          <w:b/>
          <w:bCs/>
          <w:color w:val="auto"/>
          <w:sz w:val="24"/>
          <w:szCs w:val="32"/>
          <w:highlight w:val="none"/>
          <w:lang w:val="en-US" w:eastAsia="zh-CN"/>
        </w:rPr>
        <w:t>4</w:t>
      </w:r>
      <w:r>
        <w:rPr>
          <w:rFonts w:hint="eastAsia" w:ascii="Arial" w:hAnsi="Arial" w:eastAsia="黑体" w:cs="Times New Roman"/>
          <w:b/>
          <w:bCs/>
          <w:color w:val="auto"/>
          <w:sz w:val="24"/>
          <w:szCs w:val="32"/>
          <w:highlight w:val="none"/>
        </w:rPr>
        <w:t>、</w:t>
      </w:r>
      <w:r>
        <w:rPr>
          <w:rFonts w:hint="eastAsia" w:ascii="Cambria" w:hAnsi="Cambria" w:eastAsia="黑体" w:cs="Times New Roman"/>
          <w:b/>
          <w:bCs/>
          <w:color w:val="auto"/>
          <w:sz w:val="24"/>
          <w:szCs w:val="32"/>
          <w:highlight w:val="none"/>
          <w:lang w:val="en-US" w:eastAsia="zh-CN" w:bidi="ar-SA"/>
        </w:rPr>
        <w:t>中小企业声明函</w:t>
      </w:r>
    </w:p>
    <w:p w14:paraId="605334DA">
      <w:pPr>
        <w:spacing w:before="312" w:after="312"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609159CB">
      <w:pPr>
        <w:spacing w:line="360" w:lineRule="auto"/>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t>本公司郑重声明，根据《政府采购促进中小企业发展管理办法》（财库﹝2020﹞46号）的规定，本公司参加</w:t>
      </w:r>
      <w:r>
        <w:rPr>
          <w:rFonts w:ascii="宋体" w:hAnsi="宋体" w:eastAsia="宋体" w:cs="Times New Roman"/>
          <w:color w:val="auto"/>
          <w:sz w:val="24"/>
          <w:highlight w:val="none"/>
          <w:u w:val="single"/>
        </w:rPr>
        <w:t>（单位名称）</w:t>
      </w:r>
      <w:r>
        <w:rPr>
          <w:rFonts w:ascii="宋体" w:hAnsi="宋体" w:eastAsia="宋体" w:cs="Times New Roman"/>
          <w:color w:val="auto"/>
          <w:sz w:val="24"/>
          <w:highlight w:val="none"/>
        </w:rPr>
        <w:t>的</w:t>
      </w:r>
      <w:r>
        <w:rPr>
          <w:rFonts w:ascii="宋体" w:hAnsi="宋体" w:eastAsia="宋体" w:cs="Times New Roman"/>
          <w:color w:val="auto"/>
          <w:sz w:val="24"/>
          <w:highlight w:val="none"/>
          <w:u w:val="single"/>
        </w:rPr>
        <w:t>（项目名称）</w:t>
      </w:r>
      <w:r>
        <w:rPr>
          <w:rFonts w:ascii="宋体" w:hAnsi="宋体" w:eastAsia="宋体" w:cs="Times New Roman"/>
          <w:color w:val="auto"/>
          <w:sz w:val="24"/>
          <w:highlight w:val="none"/>
        </w:rPr>
        <w:t>采购活动，服务全部由符合政策要求的中小企业承接。</w:t>
      </w:r>
    </w:p>
    <w:p w14:paraId="5394C2E0">
      <w:pPr>
        <w:spacing w:line="360" w:lineRule="auto"/>
        <w:ind w:firstLine="480"/>
        <w:rPr>
          <w:rFonts w:ascii="宋体" w:hAnsi="宋体" w:eastAsia="宋体" w:cs="Times New Roman"/>
          <w:color w:val="auto"/>
          <w:sz w:val="24"/>
          <w:highlight w:val="none"/>
        </w:rPr>
      </w:pPr>
      <w:r>
        <w:rPr>
          <w:rFonts w:ascii="宋体" w:hAnsi="宋体" w:eastAsia="宋体" w:cs="Times New Roman"/>
          <w:color w:val="auto"/>
          <w:sz w:val="24"/>
          <w:highlight w:val="none"/>
          <w:u w:val="single"/>
        </w:rPr>
        <w:t xml:space="preserve">（标的名称） </w:t>
      </w:r>
      <w:r>
        <w:rPr>
          <w:rFonts w:ascii="宋体" w:hAnsi="宋体" w:eastAsia="宋体" w:cs="Times New Roman"/>
          <w:color w:val="auto"/>
          <w:sz w:val="24"/>
          <w:highlight w:val="none"/>
        </w:rPr>
        <w:t>，属于</w:t>
      </w:r>
      <w:r>
        <w:rPr>
          <w:rFonts w:ascii="宋体" w:hAnsi="宋体" w:eastAsia="宋体" w:cs="Times New Roman"/>
          <w:color w:val="auto"/>
          <w:sz w:val="24"/>
          <w:highlight w:val="none"/>
          <w:u w:val="single"/>
        </w:rPr>
        <w:t xml:space="preserve">（采购文件中明确的所属行业） </w:t>
      </w:r>
      <w:r>
        <w:rPr>
          <w:rFonts w:ascii="宋体" w:hAnsi="宋体" w:eastAsia="宋体" w:cs="Times New Roman"/>
          <w:color w:val="auto"/>
          <w:sz w:val="24"/>
          <w:highlight w:val="none"/>
        </w:rPr>
        <w:t>行业；</w:t>
      </w:r>
      <w:r>
        <w:rPr>
          <w:rFonts w:hint="eastAsia" w:ascii="宋体" w:hAnsi="宋体" w:eastAsia="宋体" w:cs="Times New Roman"/>
          <w:color w:val="auto"/>
          <w:sz w:val="24"/>
          <w:highlight w:val="none"/>
        </w:rPr>
        <w:t>承接企业</w:t>
      </w:r>
      <w:r>
        <w:rPr>
          <w:rFonts w:ascii="宋体" w:hAnsi="宋体" w:eastAsia="宋体" w:cs="Times New Roman"/>
          <w:color w:val="auto"/>
          <w:sz w:val="24"/>
          <w:highlight w:val="none"/>
        </w:rPr>
        <w:t>为</w:t>
      </w:r>
      <w:r>
        <w:rPr>
          <w:rFonts w:ascii="宋体" w:hAnsi="宋体" w:eastAsia="宋体" w:cs="Times New Roman"/>
          <w:color w:val="auto"/>
          <w:sz w:val="24"/>
          <w:highlight w:val="none"/>
          <w:u w:val="single"/>
        </w:rPr>
        <w:t>（企业名称）</w:t>
      </w:r>
      <w:r>
        <w:rPr>
          <w:rFonts w:ascii="宋体" w:hAnsi="宋体" w:eastAsia="宋体" w:cs="Times New Roman"/>
          <w:color w:val="auto"/>
          <w:sz w:val="24"/>
          <w:highlight w:val="none"/>
        </w:rPr>
        <w:t>，从业人员</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人，营业收入为</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万元，资产总额为</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万元，属于</w:t>
      </w:r>
      <w:r>
        <w:rPr>
          <w:rFonts w:ascii="宋体" w:hAnsi="宋体" w:eastAsia="宋体" w:cs="Times New Roman"/>
          <w:color w:val="auto"/>
          <w:sz w:val="24"/>
          <w:highlight w:val="none"/>
          <w:u w:val="single"/>
        </w:rPr>
        <w:t>（中型企业、小型企业、微型企业）</w:t>
      </w:r>
      <w:r>
        <w:rPr>
          <w:rFonts w:ascii="宋体" w:hAnsi="宋体" w:eastAsia="宋体" w:cs="Times New Roman"/>
          <w:color w:val="auto"/>
          <w:sz w:val="24"/>
          <w:highlight w:val="none"/>
        </w:rPr>
        <w:t xml:space="preserve">； </w:t>
      </w:r>
    </w:p>
    <w:p w14:paraId="55429D6B">
      <w:pPr>
        <w:spacing w:line="360" w:lineRule="auto"/>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t>以上企业，不属于大企业的分支机构，不存在控股股东为大企业的情形，也不存在与大企业的负责人为同一人的情形。</w:t>
      </w:r>
    </w:p>
    <w:p w14:paraId="232F2A2C">
      <w:pPr>
        <w:spacing w:line="360" w:lineRule="auto"/>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本企业对上述声明内容的真实性负责。如有虚假，将依法承担相应责任。 </w:t>
      </w:r>
    </w:p>
    <w:p w14:paraId="70E6C8C7">
      <w:pPr>
        <w:spacing w:line="360" w:lineRule="auto"/>
        <w:ind w:firstLine="480"/>
        <w:rPr>
          <w:rFonts w:ascii="宋体" w:hAnsi="宋体" w:eastAsia="宋体" w:cs="Times New Roman"/>
          <w:color w:val="auto"/>
          <w:sz w:val="24"/>
          <w:highlight w:val="none"/>
        </w:rPr>
      </w:pPr>
    </w:p>
    <w:p w14:paraId="5E52019D">
      <w:pPr>
        <w:spacing w:line="360" w:lineRule="auto"/>
        <w:ind w:right="480" w:firstLine="4920"/>
        <w:rPr>
          <w:rFonts w:ascii="宋体" w:hAnsi="宋体" w:eastAsia="宋体" w:cs="Times New Roman"/>
          <w:color w:val="auto"/>
          <w:sz w:val="24"/>
          <w:highlight w:val="none"/>
        </w:rPr>
      </w:pPr>
    </w:p>
    <w:p w14:paraId="4715D66A">
      <w:pPr>
        <w:spacing w:line="360" w:lineRule="auto"/>
        <w:ind w:right="480" w:firstLine="4920"/>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企业名称（盖章）： </w:t>
      </w:r>
    </w:p>
    <w:p w14:paraId="4E847475">
      <w:pPr>
        <w:spacing w:line="360" w:lineRule="auto"/>
        <w:ind w:right="480" w:firstLine="4920"/>
        <w:rPr>
          <w:rFonts w:ascii="宋体" w:hAnsi="宋体" w:eastAsia="宋体" w:cs="Times New Roman"/>
          <w:color w:val="auto"/>
          <w:sz w:val="24"/>
          <w:highlight w:val="none"/>
        </w:rPr>
      </w:pPr>
      <w:r>
        <w:rPr>
          <w:rFonts w:ascii="宋体" w:hAnsi="宋体" w:eastAsia="宋体" w:cs="Times New Roman"/>
          <w:color w:val="auto"/>
          <w:sz w:val="24"/>
          <w:highlight w:val="none"/>
        </w:rPr>
        <w:t>日 期：</w:t>
      </w:r>
    </w:p>
    <w:p w14:paraId="48346A77">
      <w:pPr>
        <w:spacing w:line="360" w:lineRule="auto"/>
        <w:ind w:right="480" w:firstLine="4920"/>
        <w:rPr>
          <w:rFonts w:ascii="宋体" w:hAnsi="宋体" w:eastAsia="宋体" w:cs="Times New Roman"/>
          <w:color w:val="auto"/>
          <w:sz w:val="24"/>
          <w:highlight w:val="none"/>
        </w:rPr>
      </w:pPr>
    </w:p>
    <w:p w14:paraId="22BB26FE">
      <w:pPr>
        <w:spacing w:line="360" w:lineRule="auto"/>
        <w:ind w:right="480"/>
        <w:rPr>
          <w:rFonts w:hint="eastAsia" w:ascii="宋体" w:hAnsi="宋体" w:eastAsia="宋体" w:cs="Times New Roman"/>
          <w:color w:val="auto"/>
          <w:sz w:val="24"/>
          <w:highlight w:val="none"/>
        </w:rPr>
      </w:pPr>
    </w:p>
    <w:p w14:paraId="7BC8D9D2">
      <w:pPr>
        <w:spacing w:line="360" w:lineRule="auto"/>
        <w:ind w:right="480"/>
        <w:rPr>
          <w:rFonts w:hint="eastAsia" w:ascii="宋体" w:hAnsi="宋体" w:eastAsia="宋体" w:cs="Times New Roman"/>
          <w:color w:val="auto"/>
          <w:sz w:val="24"/>
          <w:highlight w:val="none"/>
        </w:rPr>
      </w:pPr>
    </w:p>
    <w:p w14:paraId="3D42462C">
      <w:pPr>
        <w:spacing w:line="360" w:lineRule="auto"/>
        <w:ind w:right="480"/>
        <w:rPr>
          <w:rFonts w:hint="eastAsia" w:ascii="宋体" w:hAnsi="宋体" w:eastAsia="宋体" w:cs="Times New Roman"/>
          <w:color w:val="auto"/>
          <w:sz w:val="24"/>
          <w:highlight w:val="none"/>
        </w:rPr>
      </w:pPr>
    </w:p>
    <w:p w14:paraId="76CD6F90">
      <w:pPr>
        <w:spacing w:line="360" w:lineRule="auto"/>
        <w:ind w:right="480"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填报说明：</w:t>
      </w:r>
    </w:p>
    <w:p w14:paraId="1ED983CB">
      <w:pPr>
        <w:spacing w:line="360" w:lineRule="auto"/>
        <w:ind w:right="480"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ascii="宋体" w:hAnsi="宋体" w:eastAsia="宋体" w:cs="Times New Roman"/>
          <w:color w:val="auto"/>
          <w:sz w:val="24"/>
          <w:highlight w:val="none"/>
        </w:rPr>
        <w:t>从业人员、营业收入、资产总额填报上一年度数据，无上一年度数据的新成立企业可不填报。</w:t>
      </w:r>
    </w:p>
    <w:p w14:paraId="15509F9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2、请供应商如实填写，所填内容将作为评审的依据。如填写不完整或填写有误，将不享受扶持政策。</w:t>
      </w:r>
    </w:p>
    <w:p w14:paraId="5C21258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3、中标供应商的《中小企业声明函》随中标结果公开。</w:t>
      </w:r>
    </w:p>
    <w:p w14:paraId="12EE9BD6">
      <w:pPr>
        <w:keepNext/>
        <w:keepLines/>
        <w:widowControl w:val="0"/>
        <w:numPr>
          <w:ilvl w:val="0"/>
          <w:numId w:val="0"/>
        </w:numPr>
        <w:spacing w:before="0" w:after="0" w:line="240" w:lineRule="auto"/>
        <w:jc w:val="both"/>
        <w:outlineLvl w:val="1"/>
        <w:rPr>
          <w:rFonts w:hint="eastAsia" w:ascii="宋体" w:hAnsi="宋体" w:eastAsia="宋体" w:cs="宋体"/>
          <w:color w:val="auto"/>
          <w:spacing w:val="0"/>
          <w:sz w:val="36"/>
          <w:highlight w:val="none"/>
        </w:rPr>
      </w:pPr>
      <w:r>
        <w:rPr>
          <w:rFonts w:hint="eastAsia" w:ascii="宋体" w:hAnsi="宋体" w:eastAsia="宋体" w:cs="Times New Roman"/>
          <w:color w:val="auto"/>
          <w:sz w:val="24"/>
          <w:highlight w:val="none"/>
        </w:rPr>
        <w:br w:type="page" w:clear="all"/>
      </w:r>
      <w:r>
        <w:rPr>
          <w:rFonts w:hint="eastAsia" w:ascii="Arial" w:hAnsi="Arial" w:eastAsia="黑体" w:cs="Times New Roman"/>
          <w:b/>
          <w:bCs/>
          <w:color w:val="auto"/>
          <w:sz w:val="24"/>
          <w:szCs w:val="32"/>
          <w:highlight w:val="none"/>
          <w:lang w:val="en-US" w:eastAsia="zh-CN"/>
        </w:rPr>
        <w:t>十五、</w:t>
      </w:r>
      <w:r>
        <w:rPr>
          <w:rFonts w:hint="eastAsia" w:ascii="Arial" w:hAnsi="Arial" w:eastAsia="黑体" w:cs="Times New Roman"/>
          <w:b/>
          <w:bCs/>
          <w:color w:val="auto"/>
          <w:sz w:val="24"/>
          <w:szCs w:val="32"/>
          <w:highlight w:val="none"/>
        </w:rPr>
        <w:t>残疾人福利性单位声明函</w:t>
      </w:r>
    </w:p>
    <w:p w14:paraId="5C19DABA">
      <w:pPr>
        <w:tabs>
          <w:tab w:val="left" w:pos="360"/>
        </w:tabs>
        <w:spacing w:line="360" w:lineRule="auto"/>
        <w:jc w:val="center"/>
        <w:rPr>
          <w:rFonts w:hint="eastAsia" w:ascii="宋体" w:hAnsi="宋体" w:eastAsia="宋体" w:cs="宋体"/>
          <w:bCs/>
          <w:color w:val="auto"/>
          <w:spacing w:val="0"/>
          <w:sz w:val="36"/>
          <w:szCs w:val="28"/>
          <w:highlight w:val="none"/>
        </w:rPr>
      </w:pPr>
    </w:p>
    <w:p w14:paraId="2BE97AB3">
      <w:pPr>
        <w:spacing w:before="312" w:after="312"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78A822A0">
      <w:pPr>
        <w:spacing w:line="500" w:lineRule="exact"/>
        <w:ind w:firstLine="480"/>
        <w:jc w:val="left"/>
        <w:rPr>
          <w:rFonts w:hint="eastAsia"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auto"/>
          <w:spacing w:val="0"/>
          <w:sz w:val="24"/>
          <w:szCs w:val="24"/>
          <w:highlight w:val="none"/>
        </w:rPr>
        <w:t>〔2017〕</w:t>
      </w:r>
      <w:r>
        <w:rPr>
          <w:rFonts w:hint="eastAsia" w:ascii="宋体" w:hAnsi="宋体" w:eastAsia="宋体" w:cs="宋体"/>
          <w:color w:val="auto"/>
          <w:spacing w:val="0"/>
          <w:sz w:val="24"/>
          <w:szCs w:val="21"/>
          <w:highlight w:val="none"/>
        </w:rPr>
        <w:t>141号）的规定，本单位为符合条件的残疾人福利性单位，且本单位参加</w:t>
      </w:r>
      <w:r>
        <w:rPr>
          <w:rFonts w:hint="eastAsia" w:ascii="宋体" w:hAnsi="宋体" w:eastAsia="宋体" w:cs="宋体"/>
          <w:color w:val="auto"/>
          <w:spacing w:val="0"/>
          <w:sz w:val="24"/>
          <w:szCs w:val="21"/>
          <w:highlight w:val="none"/>
          <w:u w:val="single"/>
          <w:lang w:val="en-US" w:eastAsia="zh-CN"/>
        </w:rPr>
        <w:t xml:space="preserve">        </w:t>
      </w:r>
      <w:r>
        <w:rPr>
          <w:rFonts w:hint="eastAsia" w:ascii="宋体" w:hAnsi="宋体" w:eastAsia="宋体" w:cs="宋体"/>
          <w:color w:val="auto"/>
          <w:spacing w:val="0"/>
          <w:sz w:val="24"/>
          <w:szCs w:val="21"/>
          <w:highlight w:val="none"/>
        </w:rPr>
        <w:t>单位的</w:t>
      </w:r>
      <w:r>
        <w:rPr>
          <w:rFonts w:hint="eastAsia" w:ascii="宋体" w:hAnsi="宋体" w:eastAsia="宋体" w:cs="宋体"/>
          <w:color w:val="auto"/>
          <w:spacing w:val="0"/>
          <w:sz w:val="24"/>
          <w:szCs w:val="21"/>
          <w:highlight w:val="none"/>
          <w:u w:val="single"/>
          <w:lang w:val="en-US" w:eastAsia="zh-CN"/>
        </w:rPr>
        <w:t xml:space="preserve">       </w:t>
      </w:r>
      <w:r>
        <w:rPr>
          <w:rFonts w:hint="eastAsia" w:ascii="宋体" w:hAnsi="宋体" w:eastAsia="宋体" w:cs="宋体"/>
          <w:color w:val="auto"/>
          <w:spacing w:val="0"/>
          <w:sz w:val="24"/>
          <w:szCs w:val="21"/>
          <w:highlight w:val="none"/>
        </w:rPr>
        <w:t>项目（</w:t>
      </w:r>
      <w:r>
        <w:rPr>
          <w:rFonts w:hint="eastAsia" w:ascii="宋体" w:hAnsi="宋体" w:eastAsia="宋体" w:cs="宋体"/>
          <w:color w:val="auto"/>
          <w:spacing w:val="0"/>
          <w:sz w:val="24"/>
          <w:szCs w:val="24"/>
          <w:highlight w:val="none"/>
        </w:rPr>
        <w:t>项目编号：</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，分包号：</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1"/>
          <w:highlight w:val="none"/>
        </w:rPr>
        <w:t>）采购活动由本单位提供全部服务。</w:t>
      </w:r>
    </w:p>
    <w:p w14:paraId="2636A51E">
      <w:pPr>
        <w:spacing w:line="500" w:lineRule="exact"/>
        <w:ind w:firstLine="480"/>
        <w:rPr>
          <w:rFonts w:hint="eastAsia"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本单位对上述声明的真实性负责。如有虚假，将依法承担相应责任。</w:t>
      </w:r>
    </w:p>
    <w:p w14:paraId="4E85DC08">
      <w:pPr>
        <w:spacing w:line="500" w:lineRule="exact"/>
        <w:ind w:firstLine="480"/>
        <w:rPr>
          <w:rFonts w:hint="eastAsia" w:ascii="宋体" w:hAnsi="宋体" w:eastAsia="宋体" w:cs="宋体"/>
          <w:color w:val="auto"/>
          <w:spacing w:val="0"/>
          <w:sz w:val="24"/>
          <w:szCs w:val="21"/>
          <w:highlight w:val="none"/>
        </w:rPr>
      </w:pPr>
    </w:p>
    <w:p w14:paraId="70285A83">
      <w:pPr>
        <w:spacing w:line="560" w:lineRule="exact"/>
        <w:ind w:right="1620" w:firstLine="28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单位名称（盖章）：</w:t>
      </w:r>
    </w:p>
    <w:p w14:paraId="04786A29">
      <w:pPr>
        <w:spacing w:line="560" w:lineRule="exact"/>
        <w:ind w:right="1140" w:firstLine="28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w:t>
      </w:r>
    </w:p>
    <w:p w14:paraId="1A17FF34">
      <w:pPr>
        <w:rPr>
          <w:rFonts w:hint="eastAsia" w:ascii="宋体" w:hAnsi="宋体" w:eastAsia="宋体" w:cs="宋体"/>
          <w:color w:val="auto"/>
          <w:spacing w:val="0"/>
          <w:highlight w:val="none"/>
        </w:rPr>
      </w:pPr>
    </w:p>
    <w:p w14:paraId="77FB90E6">
      <w:pPr>
        <w:rPr>
          <w:rFonts w:hint="eastAsia" w:ascii="宋体" w:hAnsi="宋体" w:eastAsia="宋体" w:cs="宋体"/>
          <w:color w:val="auto"/>
          <w:spacing w:val="0"/>
          <w:highlight w:val="none"/>
        </w:rPr>
      </w:pPr>
    </w:p>
    <w:p w14:paraId="3E208AB6">
      <w:pPr>
        <w:spacing w:line="360" w:lineRule="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填报说明：</w:t>
      </w:r>
    </w:p>
    <w:p w14:paraId="6B83D9A2">
      <w:pPr>
        <w:spacing w:line="360" w:lineRule="auto"/>
        <w:ind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color w:val="auto"/>
          <w:spacing w:val="0"/>
          <w:sz w:val="24"/>
          <w:szCs w:val="24"/>
          <w:highlight w:val="none"/>
        </w:rPr>
        <w:t>请供应商如实填写，</w:t>
      </w:r>
      <w:r>
        <w:rPr>
          <w:rFonts w:hint="eastAsia" w:ascii="宋体" w:hAnsi="宋体" w:eastAsia="宋体" w:cs="宋体"/>
          <w:bCs/>
          <w:color w:val="auto"/>
          <w:spacing w:val="0"/>
          <w:sz w:val="24"/>
          <w:highlight w:val="none"/>
        </w:rPr>
        <w:t>所填内容将作为评审的依据</w:t>
      </w:r>
      <w:r>
        <w:rPr>
          <w:rFonts w:hint="eastAsia" w:ascii="宋体" w:hAnsi="宋体" w:eastAsia="宋体" w:cs="宋体"/>
          <w:color w:val="auto"/>
          <w:spacing w:val="0"/>
          <w:sz w:val="24"/>
          <w:szCs w:val="24"/>
          <w:highlight w:val="none"/>
        </w:rPr>
        <w:t>，如填写不完整或不一致或填写有误，将不享受扶持政策。</w:t>
      </w:r>
    </w:p>
    <w:p w14:paraId="20C059F2">
      <w:pPr>
        <w:spacing w:line="360" w:lineRule="auto"/>
        <w:ind w:firstLine="480"/>
        <w:jc w:val="left"/>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2、中标人的《残疾人福利性单位声明函》随中标结果公开。</w:t>
      </w:r>
    </w:p>
    <w:p w14:paraId="4B7ED223">
      <w:pPr>
        <w:rPr>
          <w:rFonts w:hint="eastAsia" w:ascii="宋体" w:hAnsi="宋体" w:eastAsia="宋体" w:cs="宋体"/>
          <w:color w:val="auto"/>
          <w:spacing w:val="0"/>
          <w:highlight w:val="none"/>
        </w:rPr>
      </w:pPr>
    </w:p>
    <w:p w14:paraId="68045FE1">
      <w:pPr>
        <w:rPr>
          <w:rFonts w:hint="eastAsia" w:ascii="宋体" w:hAnsi="宋体" w:eastAsia="宋体" w:cs="宋体"/>
          <w:color w:val="auto"/>
          <w:spacing w:val="0"/>
          <w:highlight w:val="none"/>
        </w:rPr>
      </w:pPr>
    </w:p>
    <w:p w14:paraId="5EB7F1BD">
      <w:pPr>
        <w:rPr>
          <w:rFonts w:hint="eastAsia" w:ascii="宋体" w:hAnsi="宋体" w:eastAsia="宋体" w:cs="宋体"/>
          <w:color w:val="auto"/>
          <w:spacing w:val="0"/>
          <w:highlight w:val="none"/>
        </w:rPr>
      </w:pPr>
    </w:p>
    <w:p w14:paraId="30516B21">
      <w:pPr>
        <w:rPr>
          <w:rFonts w:hint="eastAsia" w:ascii="宋体" w:hAnsi="宋体" w:eastAsia="宋体" w:cs="宋体"/>
          <w:color w:val="auto"/>
          <w:spacing w:val="0"/>
          <w:highlight w:val="none"/>
        </w:rPr>
      </w:pPr>
    </w:p>
    <w:p w14:paraId="69BB2527">
      <w:pPr>
        <w:rPr>
          <w:rFonts w:hint="eastAsia" w:ascii="宋体" w:hAnsi="宋体" w:eastAsia="宋体" w:cs="宋体"/>
          <w:color w:val="auto"/>
          <w:spacing w:val="0"/>
          <w:highlight w:val="none"/>
        </w:rPr>
      </w:pPr>
    </w:p>
    <w:p w14:paraId="3BEF1F88">
      <w:pPr>
        <w:rPr>
          <w:rFonts w:hint="eastAsia" w:ascii="宋体" w:hAnsi="宋体" w:eastAsia="宋体" w:cs="宋体"/>
          <w:color w:val="auto"/>
          <w:spacing w:val="0"/>
          <w:highlight w:val="none"/>
        </w:rPr>
      </w:pPr>
    </w:p>
    <w:p w14:paraId="3A8D9873">
      <w:pPr>
        <w:rPr>
          <w:rFonts w:hint="eastAsia" w:ascii="宋体" w:hAnsi="宋体" w:eastAsia="宋体" w:cs="宋体"/>
          <w:color w:val="auto"/>
          <w:spacing w:val="0"/>
          <w:highlight w:val="none"/>
        </w:rPr>
      </w:pPr>
    </w:p>
    <w:p w14:paraId="27A23704">
      <w:pPr>
        <w:rPr>
          <w:rFonts w:hint="eastAsia" w:ascii="宋体" w:hAnsi="宋体" w:eastAsia="宋体" w:cs="宋体"/>
          <w:color w:val="auto"/>
          <w:spacing w:val="0"/>
          <w:highlight w:val="none"/>
        </w:rPr>
      </w:pPr>
    </w:p>
    <w:p w14:paraId="0672A421">
      <w:pPr>
        <w:rPr>
          <w:rFonts w:hint="eastAsia" w:ascii="宋体" w:hAnsi="宋体" w:eastAsia="宋体" w:cs="宋体"/>
          <w:color w:val="auto"/>
          <w:spacing w:val="0"/>
          <w:highlight w:val="none"/>
        </w:rPr>
      </w:pPr>
    </w:p>
    <w:p w14:paraId="60FFF191">
      <w:pPr>
        <w:rPr>
          <w:rFonts w:hint="eastAsia" w:ascii="宋体" w:hAnsi="宋体" w:eastAsia="宋体" w:cs="宋体"/>
          <w:color w:val="auto"/>
          <w:spacing w:val="0"/>
          <w:highlight w:val="none"/>
        </w:rPr>
      </w:pPr>
    </w:p>
    <w:p w14:paraId="47D3CB73">
      <w:pPr>
        <w:rPr>
          <w:rFonts w:hint="eastAsia" w:ascii="宋体" w:hAnsi="宋体" w:eastAsia="宋体" w:cs="宋体"/>
          <w:color w:val="auto"/>
          <w:spacing w:val="0"/>
          <w:highlight w:val="none"/>
        </w:rPr>
      </w:pPr>
    </w:p>
    <w:p w14:paraId="49FAD549">
      <w:pPr>
        <w:rPr>
          <w:rFonts w:hint="eastAsia" w:ascii="宋体" w:hAnsi="宋体" w:eastAsia="宋体" w:cs="宋体"/>
          <w:color w:val="auto"/>
          <w:spacing w:val="0"/>
          <w:highlight w:val="none"/>
        </w:rPr>
      </w:pPr>
    </w:p>
    <w:p w14:paraId="6847792C">
      <w:pPr>
        <w:rPr>
          <w:rFonts w:hint="eastAsia" w:ascii="宋体" w:hAnsi="宋体" w:eastAsia="宋体" w:cs="宋体"/>
          <w:color w:val="auto"/>
          <w:spacing w:val="0"/>
          <w:highlight w:val="none"/>
        </w:rPr>
      </w:pPr>
    </w:p>
    <w:p w14:paraId="3786986D">
      <w:pPr>
        <w:rPr>
          <w:rFonts w:hint="eastAsia" w:ascii="宋体" w:hAnsi="宋体" w:eastAsia="宋体" w:cs="宋体"/>
          <w:color w:val="auto"/>
          <w:spacing w:val="0"/>
          <w:highlight w:val="none"/>
        </w:rPr>
      </w:pPr>
    </w:p>
    <w:p w14:paraId="09F47D7C">
      <w:pPr>
        <w:rPr>
          <w:rFonts w:hint="eastAsia" w:ascii="宋体" w:hAnsi="宋体" w:eastAsia="宋体" w:cs="宋体"/>
          <w:color w:val="auto"/>
          <w:spacing w:val="0"/>
          <w:highlight w:val="none"/>
        </w:rPr>
      </w:pPr>
    </w:p>
    <w:p w14:paraId="40CC9FC9">
      <w:pPr>
        <w:rPr>
          <w:rFonts w:hint="eastAsia" w:ascii="宋体" w:hAnsi="宋体" w:eastAsia="宋体" w:cs="宋体"/>
          <w:color w:val="auto"/>
          <w:spacing w:val="0"/>
          <w:highlight w:val="none"/>
        </w:rPr>
      </w:pPr>
    </w:p>
    <w:p w14:paraId="6875C4C5">
      <w:pPr>
        <w:rPr>
          <w:rFonts w:hint="eastAsia" w:ascii="宋体" w:hAnsi="宋体" w:eastAsia="宋体" w:cs="宋体"/>
          <w:color w:val="auto"/>
          <w:spacing w:val="0"/>
          <w:highlight w:val="none"/>
        </w:rPr>
      </w:pPr>
    </w:p>
    <w:p w14:paraId="5E4F101E">
      <w:pPr>
        <w:rPr>
          <w:rFonts w:hint="eastAsia" w:ascii="宋体" w:hAnsi="宋体" w:eastAsia="宋体" w:cs="宋体"/>
          <w:color w:val="auto"/>
          <w:spacing w:val="0"/>
          <w:highlight w:val="none"/>
        </w:rPr>
      </w:pPr>
    </w:p>
    <w:p w14:paraId="5CB0F974">
      <w:pPr>
        <w:spacing w:line="360" w:lineRule="auto"/>
        <w:jc w:val="both"/>
        <w:rPr>
          <w:rFonts w:hint="default" w:ascii="宋体" w:hAnsi="宋体" w:cs="宋体"/>
          <w:b/>
          <w:color w:val="auto"/>
          <w:sz w:val="36"/>
          <w:szCs w:val="28"/>
          <w:highlight w:val="none"/>
          <w:lang w:val="en-US"/>
        </w:rPr>
      </w:pPr>
      <w:r>
        <w:rPr>
          <w:rFonts w:hint="eastAsia" w:ascii="Arial" w:hAnsi="Arial" w:eastAsia="黑体" w:cs="Times New Roman"/>
          <w:b/>
          <w:bCs/>
          <w:color w:val="auto"/>
          <w:sz w:val="24"/>
          <w:szCs w:val="32"/>
          <w:highlight w:val="none"/>
          <w:lang w:val="en-US" w:eastAsia="zh-CN"/>
        </w:rPr>
        <w:t>十六、支持绿色发展承诺函</w:t>
      </w:r>
    </w:p>
    <w:p w14:paraId="7AA48F22">
      <w:pPr>
        <w:keepNext/>
        <w:keepLines/>
        <w:widowControl w:val="0"/>
        <w:numPr>
          <w:ilvl w:val="0"/>
          <w:numId w:val="0"/>
        </w:numPr>
        <w:spacing w:before="0" w:after="0" w:line="240" w:lineRule="auto"/>
        <w:jc w:val="both"/>
        <w:outlineLvl w:val="1"/>
        <w:rPr>
          <w:rFonts w:hint="eastAsia" w:ascii="宋体" w:hAnsi="宋体" w:eastAsia="宋体" w:cs="宋体"/>
          <w:color w:val="auto"/>
          <w:spacing w:val="0"/>
          <w:sz w:val="36"/>
          <w:highlight w:val="none"/>
        </w:rPr>
      </w:pPr>
    </w:p>
    <w:p w14:paraId="6FB6E1CB">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支持绿色发展</w:t>
      </w:r>
    </w:p>
    <w:p w14:paraId="43636F0F">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投标人对以下3项自行承诺，格式自拟</w:t>
      </w:r>
      <w:r>
        <w:rPr>
          <w:rFonts w:hint="eastAsia" w:ascii="宋体" w:hAnsi="宋体" w:cs="宋体"/>
          <w:b/>
          <w:color w:val="auto"/>
          <w:sz w:val="32"/>
          <w:szCs w:val="32"/>
          <w:highlight w:val="none"/>
          <w:lang w:eastAsia="zh-CN"/>
        </w:rPr>
        <w:t>）</w:t>
      </w:r>
    </w:p>
    <w:p w14:paraId="64158D41">
      <w:pPr>
        <w:pageBreakBefore w:val="0"/>
        <w:spacing w:line="480" w:lineRule="exact"/>
        <w:ind w:firstLine="480"/>
        <w:jc w:val="both"/>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09E6A048">
      <w:pPr>
        <w:pageBreakBefore w:val="0"/>
        <w:spacing w:line="480" w:lineRule="exact"/>
        <w:ind w:firstLine="480"/>
        <w:jc w:val="both"/>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74106FE5">
      <w:pPr>
        <w:pageBreakBefore w:val="0"/>
        <w:widowControl/>
        <w:spacing w:line="480" w:lineRule="exact"/>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3F6B91E2">
      <w:pPr>
        <w:jc w:val="center"/>
        <w:rPr>
          <w:rFonts w:hint="eastAsia" w:ascii="宋体" w:hAnsi="宋体" w:cs="宋体"/>
          <w:b/>
          <w:color w:val="auto"/>
          <w:sz w:val="30"/>
          <w:szCs w:val="30"/>
          <w:highlight w:val="none"/>
        </w:rPr>
      </w:pPr>
    </w:p>
    <w:p w14:paraId="468D4F26">
      <w:pPr>
        <w:jc w:val="center"/>
        <w:rPr>
          <w:rFonts w:hint="eastAsia" w:ascii="宋体" w:hAnsi="宋体" w:cs="宋体"/>
          <w:b/>
          <w:color w:val="auto"/>
          <w:sz w:val="30"/>
          <w:szCs w:val="30"/>
          <w:highlight w:val="none"/>
        </w:rPr>
      </w:pPr>
    </w:p>
    <w:p w14:paraId="36223069">
      <w:pPr>
        <w:jc w:val="center"/>
        <w:rPr>
          <w:rFonts w:hint="eastAsia" w:ascii="宋体" w:hAnsi="宋体" w:cs="宋体"/>
          <w:b/>
          <w:color w:val="auto"/>
          <w:sz w:val="30"/>
          <w:szCs w:val="30"/>
          <w:highlight w:val="none"/>
        </w:rPr>
      </w:pPr>
    </w:p>
    <w:p w14:paraId="58A7EA2F">
      <w:pPr>
        <w:jc w:val="center"/>
        <w:rPr>
          <w:rFonts w:hint="eastAsia" w:ascii="宋体" w:hAnsi="宋体" w:cs="宋体"/>
          <w:b/>
          <w:color w:val="auto"/>
          <w:sz w:val="30"/>
          <w:szCs w:val="30"/>
          <w:highlight w:val="none"/>
        </w:rPr>
      </w:pPr>
    </w:p>
    <w:p w14:paraId="3CCFF633">
      <w:pPr>
        <w:jc w:val="center"/>
        <w:rPr>
          <w:rFonts w:hint="eastAsia" w:ascii="宋体" w:hAnsi="宋体" w:cs="宋体"/>
          <w:b/>
          <w:color w:val="auto"/>
          <w:sz w:val="30"/>
          <w:szCs w:val="30"/>
          <w:highlight w:val="none"/>
        </w:rPr>
      </w:pPr>
    </w:p>
    <w:p w14:paraId="1124D64D">
      <w:pPr>
        <w:jc w:val="center"/>
        <w:rPr>
          <w:rFonts w:hint="eastAsia" w:ascii="宋体" w:hAnsi="宋体" w:cs="宋体"/>
          <w:b/>
          <w:color w:val="auto"/>
          <w:sz w:val="30"/>
          <w:szCs w:val="30"/>
          <w:highlight w:val="none"/>
        </w:rPr>
      </w:pPr>
    </w:p>
    <w:p w14:paraId="4D3DFE4C">
      <w:pPr>
        <w:jc w:val="center"/>
        <w:rPr>
          <w:rFonts w:hint="eastAsia" w:ascii="宋体" w:hAnsi="宋体" w:cs="宋体"/>
          <w:b/>
          <w:color w:val="auto"/>
          <w:sz w:val="30"/>
          <w:szCs w:val="30"/>
          <w:highlight w:val="none"/>
        </w:rPr>
      </w:pPr>
    </w:p>
    <w:p w14:paraId="5E517789">
      <w:pPr>
        <w:jc w:val="center"/>
        <w:rPr>
          <w:rFonts w:hint="eastAsia" w:ascii="宋体" w:hAnsi="宋体" w:cs="宋体"/>
          <w:b/>
          <w:color w:val="auto"/>
          <w:sz w:val="30"/>
          <w:szCs w:val="30"/>
          <w:highlight w:val="none"/>
        </w:rPr>
      </w:pPr>
    </w:p>
    <w:p w14:paraId="76639902">
      <w:pPr>
        <w:jc w:val="center"/>
        <w:rPr>
          <w:rFonts w:hint="eastAsia" w:ascii="宋体" w:hAnsi="宋体" w:cs="宋体"/>
          <w:b/>
          <w:color w:val="auto"/>
          <w:sz w:val="30"/>
          <w:szCs w:val="30"/>
          <w:highlight w:val="none"/>
        </w:rPr>
      </w:pPr>
    </w:p>
    <w:p w14:paraId="65F1E48D">
      <w:pPr>
        <w:jc w:val="center"/>
        <w:rPr>
          <w:rFonts w:hint="eastAsia" w:ascii="宋体" w:hAnsi="宋体" w:cs="宋体"/>
          <w:b/>
          <w:color w:val="auto"/>
          <w:sz w:val="30"/>
          <w:szCs w:val="30"/>
          <w:highlight w:val="none"/>
        </w:rPr>
      </w:pPr>
    </w:p>
    <w:p w14:paraId="0BD9D4C2">
      <w:pPr>
        <w:jc w:val="center"/>
        <w:rPr>
          <w:rFonts w:hint="eastAsia" w:ascii="宋体" w:hAnsi="宋体" w:cs="宋体"/>
          <w:b/>
          <w:color w:val="auto"/>
          <w:sz w:val="30"/>
          <w:szCs w:val="30"/>
          <w:highlight w:val="none"/>
        </w:rPr>
      </w:pPr>
    </w:p>
    <w:p w14:paraId="2143B8BD">
      <w:pPr>
        <w:spacing w:line="360" w:lineRule="auto"/>
        <w:jc w:val="both"/>
        <w:rPr>
          <w:rFonts w:hint="default" w:ascii="宋体" w:hAnsi="宋体" w:cs="宋体"/>
          <w:b/>
          <w:color w:val="auto"/>
          <w:sz w:val="36"/>
          <w:szCs w:val="28"/>
          <w:highlight w:val="none"/>
          <w:lang w:val="en-US"/>
        </w:rPr>
      </w:pPr>
      <w:r>
        <w:rPr>
          <w:rFonts w:hint="eastAsia" w:ascii="Arial" w:hAnsi="Arial" w:eastAsia="黑体" w:cs="Times New Roman"/>
          <w:b/>
          <w:bCs/>
          <w:color w:val="auto"/>
          <w:sz w:val="24"/>
          <w:szCs w:val="32"/>
          <w:highlight w:val="none"/>
          <w:lang w:val="en-US" w:eastAsia="zh-CN"/>
        </w:rPr>
        <w:t>十七、关于符合本国产品标准的声明函</w:t>
      </w:r>
    </w:p>
    <w:p w14:paraId="7B8E6020">
      <w:pPr>
        <w:jc w:val="center"/>
        <w:rPr>
          <w:rFonts w:hint="eastAsia" w:ascii="宋体" w:hAnsi="宋体" w:cs="宋体"/>
          <w:b/>
          <w:color w:val="auto"/>
          <w:sz w:val="30"/>
          <w:szCs w:val="30"/>
          <w:highlight w:val="none"/>
        </w:rPr>
      </w:pPr>
    </w:p>
    <w:p w14:paraId="7ECA3A97">
      <w:pPr>
        <w:jc w:val="center"/>
        <w:rPr>
          <w:rFonts w:hint="eastAsia" w:ascii="宋体" w:hAnsi="宋体" w:cs="宋体"/>
          <w:b/>
          <w:color w:val="auto"/>
          <w:sz w:val="30"/>
          <w:szCs w:val="30"/>
          <w:highlight w:val="none"/>
        </w:rPr>
      </w:pPr>
    </w:p>
    <w:p w14:paraId="1868F20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color w:val="auto"/>
          <w:sz w:val="32"/>
          <w:szCs w:val="32"/>
          <w:highlight w:val="none"/>
          <w:u w:val="single"/>
        </w:rPr>
        <w:t>关于符合本国产品标准的声明函</w:t>
      </w:r>
    </w:p>
    <w:p w14:paraId="2EA877A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 </w:t>
      </w:r>
    </w:p>
    <w:p w14:paraId="20F724A8">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本公司（联合体）郑重声明，根据《国务院办公厅关于在政府采购中实施本国产品标准及相关政策的通知》（国办发〔2025〕34号）的规定，本公司（单位）提供的以下产品属于本国产品。具体情况如下：</w:t>
      </w:r>
    </w:p>
    <w:p w14:paraId="4C3F4488">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1.</w:t>
      </w:r>
      <w:r>
        <w:rPr>
          <w:rFonts w:ascii="宋体" w:hAnsi="宋体" w:eastAsia="宋体" w:cs="宋体"/>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vertAlign w:val="superscript"/>
        </w:rPr>
        <w:t>1</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vertAlign w:val="superscript"/>
        </w:rPr>
        <w:t>2</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color w:val="auto"/>
          <w:sz w:val="24"/>
          <w:szCs w:val="24"/>
          <w:highlight w:val="none"/>
          <w:u w:val="single"/>
          <w:shd w:val="clear" w:fill="FFFFFF"/>
        </w:rPr>
        <w:t> </w:t>
      </w:r>
      <w:r>
        <w:rPr>
          <w:rFonts w:ascii="宋体" w:hAnsi="宋体" w:eastAsia="宋体" w:cs="宋体"/>
          <w:strike/>
          <w:dstrike w:val="0"/>
          <w:color w:val="auto"/>
          <w:sz w:val="24"/>
          <w:szCs w:val="24"/>
          <w:highlight w:val="none"/>
          <w:u w:val="single"/>
          <w:shd w:val="clear" w:fill="FFFFFF"/>
        </w:rPr>
        <w:t xml:space="preserve">（产品名称1） </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vertAlign w:val="superscript"/>
        </w:rPr>
        <w:t>3</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vertAlign w:val="superscript"/>
        </w:rPr>
        <w:t>4</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vertAlign w:val="superscript"/>
        </w:rPr>
        <w:t>5</w:t>
      </w:r>
      <w:r>
        <w:rPr>
          <w:rFonts w:ascii="宋体" w:hAnsi="宋体" w:eastAsia="宋体" w:cs="宋体"/>
          <w:color w:val="auto"/>
          <w:sz w:val="24"/>
          <w:szCs w:val="24"/>
          <w:highlight w:val="none"/>
          <w:shd w:val="clear" w:fill="FFFFFF"/>
        </w:rPr>
        <w:t>在中国境内完成。</w:t>
      </w:r>
    </w:p>
    <w:p w14:paraId="795E9D9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shd w:val="clear" w:fill="FFFFFF"/>
        </w:rPr>
        <w:t>2.</w:t>
      </w:r>
      <w:r>
        <w:rPr>
          <w:rFonts w:ascii="宋体" w:hAnsi="宋体" w:eastAsia="宋体" w:cs="宋体"/>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rPr>
        <w:t>在中国境内完成。</w:t>
      </w:r>
    </w:p>
    <w:p w14:paraId="0B13DFE2">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w:t>
      </w:r>
    </w:p>
    <w:p w14:paraId="5895BB0D">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本公司（单位）对上述声明内容的真实性负责。如有虚假，愿承担相应法律责任。</w:t>
      </w:r>
    </w:p>
    <w:p w14:paraId="7C51B85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620" w:firstLine="2880"/>
        <w:jc w:val="both"/>
        <w:rPr>
          <w:color w:val="auto"/>
          <w:highlight w:val="none"/>
        </w:rPr>
      </w:pPr>
      <w:r>
        <w:rPr>
          <w:rFonts w:ascii="宋体" w:hAnsi="宋体" w:eastAsia="宋体" w:cs="宋体"/>
          <w:color w:val="auto"/>
          <w:sz w:val="24"/>
          <w:szCs w:val="24"/>
          <w:highlight w:val="none"/>
        </w:rPr>
        <w:t>公司（单位）名称（盖章）：</w:t>
      </w:r>
    </w:p>
    <w:p w14:paraId="22D7020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140" w:firstLine="2880"/>
        <w:jc w:val="both"/>
        <w:rPr>
          <w:color w:val="auto"/>
          <w:highlight w:val="none"/>
        </w:rPr>
      </w:pPr>
      <w:r>
        <w:rPr>
          <w:rFonts w:ascii="宋体" w:hAnsi="宋体" w:eastAsia="宋体" w:cs="宋体"/>
          <w:color w:val="auto"/>
          <w:sz w:val="24"/>
          <w:szCs w:val="24"/>
          <w:highlight w:val="none"/>
        </w:rPr>
        <w:t>日期：</w:t>
      </w:r>
    </w:p>
    <w:p w14:paraId="4231A508">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480"/>
        <w:jc w:val="both"/>
        <w:rPr>
          <w:color w:val="auto"/>
          <w:highlight w:val="none"/>
        </w:rPr>
      </w:pPr>
      <w:r>
        <w:rPr>
          <w:rFonts w:ascii="宋体" w:hAnsi="宋体" w:eastAsia="宋体" w:cs="宋体"/>
          <w:color w:val="auto"/>
          <w:sz w:val="24"/>
          <w:szCs w:val="24"/>
          <w:highlight w:val="none"/>
        </w:rPr>
        <w:t>填报说明：</w:t>
      </w:r>
    </w:p>
    <w:p w14:paraId="02A8D74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1.产品如有型号，请在“产品名称”栏一并填写。</w:t>
      </w:r>
    </w:p>
    <w:p w14:paraId="3FD721E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2.生产厂名与厂址应与生产厂营业执照载明的相关信息保持一致。</w:t>
      </w:r>
    </w:p>
    <w:p w14:paraId="3B6169D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3.该产品的中国境内生产的组件成本占比相关要求实施前，“规定比例”栏可不填，下同。</w:t>
      </w:r>
    </w:p>
    <w:p w14:paraId="254F435E">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4.该产品的关键组件要求实施前，“关键组件”栏可不填，下同。</w:t>
      </w:r>
    </w:p>
    <w:p w14:paraId="04B95BB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5.该产品的关键工序要求实施前，“关键工序”栏可不填，下同。</w:t>
      </w:r>
    </w:p>
    <w:p w14:paraId="404E7A1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6.用线划除的地方无需填写。</w:t>
      </w:r>
    </w:p>
    <w:p w14:paraId="43F4BB3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7.请供应商如实填写，如填写有误，将承担一切不利后果。</w:t>
      </w:r>
    </w:p>
    <w:p w14:paraId="4D623A12">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8.供应商提供虚假《声明函》、虚假证明文件谋取中标的，依照《中华人民共和国政府采购法》等法律法规规定追究相应责任。</w:t>
      </w:r>
    </w:p>
    <w:p w14:paraId="2B7AB90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9.中标人的《声明函》或有关证明文件随中标结果公开，接受社会监督。</w:t>
      </w:r>
    </w:p>
    <w:p w14:paraId="67AD4EFC">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4C60C42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7BEF379F">
      <w:pPr>
        <w:rPr>
          <w:rFonts w:hint="eastAsia" w:ascii="宋体" w:hAnsi="宋体" w:eastAsia="宋体" w:cs="宋体"/>
          <w:color w:val="auto"/>
          <w:spacing w:val="0"/>
          <w:highlight w:val="none"/>
        </w:rPr>
      </w:pPr>
    </w:p>
    <w:p w14:paraId="6FE936C7">
      <w:pPr>
        <w:spacing w:line="360" w:lineRule="auto"/>
        <w:ind w:firstLine="480"/>
        <w:rPr>
          <w:rFonts w:ascii="宋体" w:hAnsi="宋体" w:eastAsia="宋体" w:cs="Times New Roman"/>
          <w:color w:val="auto"/>
          <w:sz w:val="24"/>
          <w:highlight w:val="none"/>
        </w:rPr>
      </w:pPr>
    </w:p>
    <w:p w14:paraId="292E58FF">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t>质疑函范本</w:t>
      </w:r>
    </w:p>
    <w:p w14:paraId="58AF6F42">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一、质疑供应商基本信息</w:t>
      </w:r>
    </w:p>
    <w:p w14:paraId="32D9B372">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质疑供应商：</w:t>
      </w:r>
      <w:r>
        <w:rPr>
          <w:rFonts w:hint="eastAsia" w:ascii="宋体" w:hAnsi="宋体" w:eastAsia="宋体" w:cs="宋体"/>
          <w:color w:val="auto"/>
          <w:szCs w:val="21"/>
          <w:highlight w:val="none"/>
          <w:u w:val="single"/>
        </w:rPr>
        <w:t xml:space="preserve">                                                              </w:t>
      </w:r>
    </w:p>
    <w:p w14:paraId="0016862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p>
    <w:p w14:paraId="05E4A7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p>
    <w:p w14:paraId="777A579A">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授权代表：</w:t>
      </w:r>
      <w:r>
        <w:rPr>
          <w:rFonts w:hint="eastAsia" w:ascii="宋体" w:hAnsi="宋体" w:eastAsia="宋体" w:cs="宋体"/>
          <w:color w:val="auto"/>
          <w:szCs w:val="21"/>
          <w:highlight w:val="none"/>
          <w:u w:val="single"/>
        </w:rPr>
        <w:t xml:space="preserve">                                                                 </w:t>
      </w:r>
    </w:p>
    <w:p w14:paraId="700F441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p>
    <w:p w14:paraId="0FA2B2C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p>
    <w:p w14:paraId="2A0120F6">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二、质疑项目基本情况</w:t>
      </w:r>
    </w:p>
    <w:p w14:paraId="5474CEC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质疑项目的名称：</w:t>
      </w:r>
      <w:r>
        <w:rPr>
          <w:rFonts w:hint="eastAsia" w:ascii="宋体" w:hAnsi="宋体" w:eastAsia="宋体" w:cs="宋体"/>
          <w:color w:val="auto"/>
          <w:szCs w:val="21"/>
          <w:highlight w:val="none"/>
          <w:u w:val="single"/>
        </w:rPr>
        <w:t xml:space="preserve">                                                          </w:t>
      </w:r>
    </w:p>
    <w:p w14:paraId="2C8B919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质疑项目的编号：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包号：</w:t>
      </w:r>
      <w:r>
        <w:rPr>
          <w:rFonts w:hint="eastAsia" w:ascii="宋体" w:hAnsi="宋体" w:eastAsia="宋体" w:cs="宋体"/>
          <w:color w:val="auto"/>
          <w:szCs w:val="21"/>
          <w:highlight w:val="none"/>
          <w:u w:val="single"/>
        </w:rPr>
        <w:t xml:space="preserve">                           </w:t>
      </w:r>
    </w:p>
    <w:p w14:paraId="4CBAB5D8">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采购人名称：</w:t>
      </w:r>
      <w:r>
        <w:rPr>
          <w:rFonts w:hint="eastAsia" w:ascii="宋体" w:hAnsi="宋体" w:eastAsia="宋体" w:cs="宋体"/>
          <w:color w:val="auto"/>
          <w:szCs w:val="21"/>
          <w:highlight w:val="none"/>
          <w:u w:val="single"/>
        </w:rPr>
        <w:t xml:space="preserve">                                                              </w:t>
      </w:r>
    </w:p>
    <w:p w14:paraId="0345E73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采购文件获取日期：</w:t>
      </w:r>
      <w:r>
        <w:rPr>
          <w:rFonts w:hint="eastAsia" w:ascii="宋体" w:hAnsi="宋体" w:eastAsia="宋体" w:cs="宋体"/>
          <w:color w:val="auto"/>
          <w:szCs w:val="21"/>
          <w:highlight w:val="none"/>
          <w:u w:val="single"/>
        </w:rPr>
        <w:t xml:space="preserve">                                                        </w:t>
      </w:r>
    </w:p>
    <w:p w14:paraId="379647F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三、质疑事项具体内容</w:t>
      </w:r>
    </w:p>
    <w:p w14:paraId="2F86B1AD">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质疑事项1：</w:t>
      </w:r>
      <w:r>
        <w:rPr>
          <w:rFonts w:hint="eastAsia" w:ascii="宋体" w:hAnsi="宋体" w:eastAsia="宋体" w:cs="宋体"/>
          <w:color w:val="auto"/>
          <w:szCs w:val="21"/>
          <w:highlight w:val="none"/>
          <w:u w:val="single"/>
        </w:rPr>
        <w:t xml:space="preserve">                                                              </w:t>
      </w:r>
    </w:p>
    <w:p w14:paraId="289D72FC">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事实依据：</w:t>
      </w:r>
      <w:r>
        <w:rPr>
          <w:rFonts w:hint="eastAsia" w:ascii="宋体" w:hAnsi="宋体" w:eastAsia="宋体" w:cs="宋体"/>
          <w:color w:val="auto"/>
          <w:szCs w:val="21"/>
          <w:highlight w:val="none"/>
          <w:u w:val="single"/>
        </w:rPr>
        <w:t xml:space="preserve">                                                                </w:t>
      </w:r>
    </w:p>
    <w:p w14:paraId="0A05626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p>
    <w:p w14:paraId="333B98A6">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法律依据：</w:t>
      </w:r>
      <w:r>
        <w:rPr>
          <w:rFonts w:hint="eastAsia" w:ascii="宋体" w:hAnsi="宋体" w:eastAsia="宋体" w:cs="宋体"/>
          <w:color w:val="auto"/>
          <w:szCs w:val="21"/>
          <w:highlight w:val="none"/>
          <w:u w:val="single"/>
        </w:rPr>
        <w:t xml:space="preserve">                                                                 </w:t>
      </w:r>
    </w:p>
    <w:p w14:paraId="308BDF67">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2ECDD917">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质疑事项2</w:t>
      </w:r>
    </w:p>
    <w:p w14:paraId="4CBE6B7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52FD9FB6">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四、与质疑事项相关的质疑请求</w:t>
      </w:r>
    </w:p>
    <w:p w14:paraId="14E17E07">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请求：</w:t>
      </w:r>
      <w:r>
        <w:rPr>
          <w:rFonts w:hint="eastAsia" w:ascii="宋体" w:hAnsi="宋体" w:eastAsia="宋体" w:cs="宋体"/>
          <w:color w:val="auto"/>
          <w:szCs w:val="21"/>
          <w:highlight w:val="none"/>
          <w:u w:val="single"/>
        </w:rPr>
        <w:t xml:space="preserve">                                                                     </w:t>
      </w:r>
    </w:p>
    <w:p w14:paraId="4DBFDC2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签字(签章)：                   公章：                      </w:t>
      </w:r>
    </w:p>
    <w:p w14:paraId="5FD7976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p>
    <w:p w14:paraId="055884B9">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质疑函制作说明：</w:t>
      </w:r>
    </w:p>
    <w:p w14:paraId="5F7C3658">
      <w:pPr>
        <w:widowControl/>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1.供应商提出质疑时，应提交质疑函和必要的证明材料。</w:t>
      </w:r>
    </w:p>
    <w:p w14:paraId="178931E3">
      <w:pPr>
        <w:widowControl/>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20A56D9">
      <w:pPr>
        <w:widowControl/>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3.质疑供应商若对项目的某一分包进行质疑，质疑函中应列明具体分包号。</w:t>
      </w:r>
    </w:p>
    <w:p w14:paraId="6B936E2F">
      <w:pPr>
        <w:widowControl/>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4.质疑函的质疑事项应具体、明确，并有必要的事实依据和法律依据。</w:t>
      </w:r>
    </w:p>
    <w:p w14:paraId="1A86919E">
      <w:pPr>
        <w:widowControl/>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5.质疑函的质疑请求应与质疑事项相关。</w:t>
      </w:r>
    </w:p>
    <w:p w14:paraId="33C05F6F">
      <w:pPr>
        <w:widowControl/>
        <w:spacing w:line="360" w:lineRule="auto"/>
        <w:ind w:firstLine="420"/>
        <w:jc w:val="left"/>
        <w:rPr>
          <w:rFonts w:hint="eastAsia" w:ascii="Calibri" w:hAnsi="Calibri" w:eastAsia="宋体" w:cs="Times New Roman"/>
          <w:color w:val="auto"/>
          <w:szCs w:val="22"/>
          <w:highlight w:val="none"/>
        </w:rPr>
      </w:pPr>
      <w:r>
        <w:rPr>
          <w:rFonts w:hint="eastAsia" w:ascii="宋体" w:hAnsi="宋体" w:eastAsia="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14:paraId="44D9CFDE">
      <w:pPr>
        <w:spacing w:line="360" w:lineRule="auto"/>
        <w:ind w:firstLine="480"/>
        <w:rPr>
          <w:rFonts w:hint="eastAsia" w:ascii="宋体" w:hAnsi="Courier New" w:eastAsia="宋体" w:cs="Times New Roman"/>
          <w:color w:val="auto"/>
          <w:sz w:val="24"/>
          <w:szCs w:val="24"/>
          <w:highlight w:val="none"/>
        </w:rPr>
      </w:pPr>
    </w:p>
    <w:p w14:paraId="76CDCBE9">
      <w:pPr>
        <w:rPr>
          <w:rFonts w:ascii="Times New Roman" w:hAnsi="Times New Roman" w:eastAsia="宋体" w:cs="Times New Roman"/>
          <w:color w:val="auto"/>
          <w:szCs w:val="24"/>
          <w:highlight w:val="none"/>
        </w:rPr>
      </w:pPr>
    </w:p>
    <w:p w14:paraId="1EBB712C">
      <w:pPr>
        <w:spacing w:line="400" w:lineRule="exact"/>
        <w:rPr>
          <w:rFonts w:hint="eastAsia" w:ascii="宋体" w:hAnsi="宋体" w:eastAsia="宋体" w:cs="宋体"/>
          <w:b/>
          <w:color w:val="auto"/>
          <w:sz w:val="24"/>
          <w:szCs w:val="20"/>
          <w:highlight w:val="none"/>
        </w:rPr>
      </w:pPr>
    </w:p>
    <w:sectPr>
      <w:footerReference r:id="rId13" w:type="default"/>
      <w:pgSz w:w="11906" w:h="16838"/>
      <w:pgMar w:top="1440" w:right="1800" w:bottom="1440" w:left="1800" w:header="851" w:footer="992" w:gutter="0"/>
      <w:pgNumType w:fmt="decimal" w:start="65"/>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font-weight : 400">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w:panose1 w:val="020B0604020202020204"/>
    <w:charset w:val="00"/>
    <w:family w:val="auto"/>
    <w:pitch w:val="default"/>
    <w:sig w:usb0="E0002EFF" w:usb1="C000785B" w:usb2="00000009" w:usb3="00000000" w:csb0="400001FF" w:csb1="FFFF0000"/>
  </w:font>
  <w:font w:name="KSOFF9CC612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E41CC">
    <w:pPr>
      <w:spacing w:line="225" w:lineRule="auto"/>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3C130B">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1D3C130B">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4869B">
    <w:pPr>
      <w:spacing w:line="225" w:lineRule="auto"/>
      <w:ind w:left="5514"/>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F2A8C82">
                          <w:pPr>
                            <w:pStyle w:val="19"/>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F2A8C82">
                    <w:pPr>
                      <w:pStyle w:val="19"/>
                    </w:pPr>
                    <w:r>
                      <w:fldChar w:fldCharType="begin"/>
                    </w:r>
                    <w:r>
                      <w:instrText xml:space="preserve"> PAGE  \* MERGEFORMAT </w:instrText>
                    </w:r>
                    <w:r>
                      <w:fldChar w:fldCharType="separate"/>
                    </w:r>
                    <w:r>
                      <w:t>32</w:t>
                    </w:r>
                    <w:r>
                      <w:fldChar w:fldCharType="end"/>
                    </w:r>
                  </w:p>
                </w:txbxContent>
              </v:textbox>
            </v:shape>
          </w:pict>
        </mc:Fallback>
      </mc:AlternateContent>
    </w:r>
    <w:r>
      <w:rPr>
        <w:rFonts w:ascii="宋体" w:hAnsi="宋体" w:eastAsia="宋体" w:cs="宋体"/>
        <w:spacing w:val="-1"/>
        <w:sz w:val="18"/>
        <w:szCs w:val="18"/>
      </w:rPr>
      <w:t>第</w:t>
    </w:r>
    <w:r>
      <w:rPr>
        <w:rFonts w:ascii="Times New Roman" w:hAnsi="Times New Roman" w:eastAsia="Times New Roman" w:cs="Times New Roman"/>
        <w:spacing w:val="-1"/>
        <w:sz w:val="18"/>
        <w:szCs w:val="18"/>
      </w:rPr>
      <w:t>42</w:t>
    </w:r>
    <w:r>
      <w:rPr>
        <w:rFonts w:ascii="宋体" w:hAnsi="宋体" w:eastAsia="宋体" w:cs="宋体"/>
        <w:spacing w:val="-1"/>
        <w:sz w:val="18"/>
        <w:szCs w:val="18"/>
      </w:rPr>
      <w:t>页 共</w:t>
    </w:r>
    <w:r>
      <w:rPr>
        <w:rFonts w:ascii="Times New Roman" w:hAnsi="Times New Roman" w:eastAsia="Times New Roman" w:cs="Times New Roman"/>
        <w:spacing w:val="-1"/>
        <w:sz w:val="18"/>
        <w:szCs w:val="18"/>
      </w:rPr>
      <w:t>62</w:t>
    </w:r>
    <w:r>
      <w:rPr>
        <w:rFonts w:ascii="宋体" w:hAnsi="宋体" w:eastAsia="宋体" w:cs="宋体"/>
        <w:spacing w:val="-1"/>
        <w:sz w:val="18"/>
        <w:szCs w:val="18"/>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3821">
    <w:pPr>
      <w:spacing w:line="225" w:lineRule="auto"/>
      <w:ind w:left="6147"/>
      <w:rPr>
        <w:rFonts w:ascii="宋体" w:hAnsi="宋体" w:eastAsia="宋体" w:cs="宋体"/>
        <w:sz w:val="18"/>
        <w:szCs w:val="18"/>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E458119">
                          <w:pPr>
                            <w:pStyle w:val="1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7E458119">
                    <w:pPr>
                      <w:pStyle w:val="19"/>
                    </w:pPr>
                    <w:r>
                      <w:fldChar w:fldCharType="begin"/>
                    </w:r>
                    <w:r>
                      <w:instrText xml:space="preserve"> PAGE  \* MERGEFORMAT </w:instrText>
                    </w:r>
                    <w:r>
                      <w:fldChar w:fldCharType="separate"/>
                    </w:r>
                    <w:r>
                      <w:t>33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3488690</wp:posOffset>
              </wp:positionH>
              <wp:positionV relativeFrom="paragraph">
                <wp:posOffset>-12065</wp:posOffset>
              </wp:positionV>
              <wp:extent cx="365760" cy="172085"/>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365760" cy="172085"/>
                      </a:xfrm>
                      <a:prstGeom prst="rect">
                        <a:avLst/>
                      </a:prstGeom>
                      <a:noFill/>
                      <a:ln>
                        <a:noFill/>
                      </a:ln>
                    </wps:spPr>
                    <wps:txbx>
                      <w:txbxContent>
                        <w:p w14:paraId="6C837C23">
                          <w:pPr>
                            <w:spacing w:before="20" w:line="236" w:lineRule="auto"/>
                            <w:ind w:left="20"/>
                            <w:rPr>
                              <w:rFonts w:ascii="宋体" w:hAnsi="宋体" w:eastAsia="宋体" w:cs="宋体"/>
                              <w:sz w:val="18"/>
                              <w:szCs w:val="18"/>
                            </w:rPr>
                          </w:pPr>
                          <w:r>
                            <w:rPr>
                              <w:rFonts w:ascii="宋体" w:hAnsi="宋体" w:eastAsia="宋体" w:cs="宋体"/>
                              <w:spacing w:val="-1"/>
                              <w:sz w:val="18"/>
                              <w:szCs w:val="18"/>
                            </w:rPr>
                            <w:t>第</w:t>
                          </w:r>
                          <w:r>
                            <w:rPr>
                              <w:rFonts w:ascii="Times New Roman" w:hAnsi="Times New Roman" w:eastAsia="Times New Roman" w:cs="Times New Roman"/>
                              <w:spacing w:val="-1"/>
                              <w:sz w:val="18"/>
                              <w:szCs w:val="18"/>
                            </w:rPr>
                            <w:t>43</w:t>
                          </w:r>
                          <w:r>
                            <w:rPr>
                              <w:rFonts w:ascii="宋体" w:hAnsi="宋体" w:eastAsia="宋体" w:cs="宋体"/>
                              <w:spacing w:val="-1"/>
                              <w:sz w:val="18"/>
                              <w:szCs w:val="18"/>
                            </w:rPr>
                            <w:t>页</w:t>
                          </w:r>
                        </w:p>
                      </w:txbxContent>
                    </wps:txbx>
                    <wps:bodyPr lIns="0" tIns="0" rIns="0" bIns="0" upright="1"/>
                  </wps:wsp>
                </a:graphicData>
              </a:graphic>
            </wp:anchor>
          </w:drawing>
        </mc:Choice>
        <mc:Fallback>
          <w:pict>
            <v:shape id="文本框 1027" o:spid="_x0000_s1026" o:spt="202" type="#_x0000_t202" style="position:absolute;left:0pt;margin-left:274.7pt;margin-top:-0.95pt;height:13.55pt;width:28.8pt;z-index:251660288;mso-width-relative:page;mso-height-relative:page;" filled="f" stroked="f" coordsize="21600,21600" o:gfxdata="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1zZvPZAAAACQEAAA8AAAAAAAAAAQAgAAAAIgAAAGRycy9kb3ducmV2LnhtbFBL&#10;AQIUABQAAAAIAIdO4kDSC+q8vAEAAHQDAAAOAAAAAAAAAAEAIAAAACgBAABkcnMvZTJvRG9jLnht&#10;bFBLBQYAAAAABgAGAFkBAABWBQAAAAA=&#10;">
              <v:fill on="f" focussize="0,0"/>
              <v:stroke on="f"/>
              <v:imagedata o:title=""/>
              <o:lock v:ext="edit" aspectratio="f"/>
              <v:textbox inset="0mm,0mm,0mm,0mm">
                <w:txbxContent>
                  <w:p w14:paraId="6C837C23">
                    <w:pPr>
                      <w:spacing w:before="20" w:line="236" w:lineRule="auto"/>
                      <w:ind w:left="20"/>
                      <w:rPr>
                        <w:rFonts w:ascii="宋体" w:hAnsi="宋体" w:eastAsia="宋体" w:cs="宋体"/>
                        <w:sz w:val="18"/>
                        <w:szCs w:val="18"/>
                      </w:rPr>
                    </w:pPr>
                    <w:r>
                      <w:rPr>
                        <w:rFonts w:ascii="宋体" w:hAnsi="宋体" w:eastAsia="宋体" w:cs="宋体"/>
                        <w:spacing w:val="-1"/>
                        <w:sz w:val="18"/>
                        <w:szCs w:val="18"/>
                      </w:rPr>
                      <w:t>第</w:t>
                    </w:r>
                    <w:r>
                      <w:rPr>
                        <w:rFonts w:ascii="Times New Roman" w:hAnsi="Times New Roman" w:eastAsia="Times New Roman" w:cs="Times New Roman"/>
                        <w:spacing w:val="-1"/>
                        <w:sz w:val="18"/>
                        <w:szCs w:val="18"/>
                      </w:rPr>
                      <w:t>43</w:t>
                    </w:r>
                    <w:r>
                      <w:rPr>
                        <w:rFonts w:ascii="宋体" w:hAnsi="宋体" w:eastAsia="宋体" w:cs="宋体"/>
                        <w:spacing w:val="-1"/>
                        <w:sz w:val="18"/>
                        <w:szCs w:val="18"/>
                      </w:rPr>
                      <w:t>页</w:t>
                    </w:r>
                  </w:p>
                </w:txbxContent>
              </v:textbox>
            </v:shape>
          </w:pict>
        </mc:Fallback>
      </mc:AlternateContent>
    </w:r>
    <w:r>
      <w:rPr>
        <w:rFonts w:ascii="宋体" w:hAnsi="宋体" w:eastAsia="宋体" w:cs="宋体"/>
        <w:spacing w:val="-1"/>
        <w:sz w:val="18"/>
        <w:szCs w:val="18"/>
      </w:rPr>
      <w:t>共</w:t>
    </w:r>
    <w:r>
      <w:rPr>
        <w:rFonts w:ascii="Times New Roman" w:hAnsi="Times New Roman" w:eastAsia="Times New Roman" w:cs="Times New Roman"/>
        <w:spacing w:val="-1"/>
        <w:sz w:val="18"/>
        <w:szCs w:val="18"/>
      </w:rPr>
      <w:t>62</w:t>
    </w:r>
    <w:r>
      <w:rPr>
        <w:rFonts w:ascii="宋体" w:hAnsi="宋体" w:eastAsia="宋体" w:cs="宋体"/>
        <w:spacing w:val="-1"/>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9DF2F">
    <w:pPr>
      <w:spacing w:line="225" w:lineRule="auto"/>
      <w:ind w:left="5514"/>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F913B91">
                          <w:pPr>
                            <w:pStyle w:val="19"/>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5F913B91">
                    <w:pPr>
                      <w:pStyle w:val="19"/>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9A6E2">
    <w:pPr>
      <w:spacing w:line="225" w:lineRule="auto"/>
      <w:ind w:left="5514"/>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63DA7A3">
                          <w:pPr>
                            <w:pStyle w:val="19"/>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363DA7A3">
                    <w:pPr>
                      <w:pStyle w:val="19"/>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10E9E">
    <w:pPr>
      <w:pStyle w:val="20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E07049F">
                          <w:pPr>
                            <w:pStyle w:val="1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14:paraId="1E07049F">
                    <w:pPr>
                      <w:pStyle w:val="1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947F5">
    <w:pPr>
      <w:widowControl w:val="0"/>
      <w:jc w:val="left"/>
      <w:rPr>
        <w:rFonts w:ascii="Times New Roman" w:hAnsi="Times New Roman" w:eastAsia="宋体" w:cs="Times New Roman"/>
        <w:sz w:val="18"/>
        <w:szCs w:val="18"/>
        <w:lang w:val="en-US" w:eastAsia="zh-CN" w:bidi="ar-S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B6D85A6">
                          <w:pPr>
                            <w:pStyle w:val="1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14:paraId="6B6D85A6">
                    <w:pPr>
                      <w:pStyle w:val="1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2CDD7">
    <w:pPr>
      <w:framePr w:wrap="around" w:vAnchor="text" w:hAnchor="margin" w:xAlign="center" w:y="1"/>
      <w:widowControl w:val="0"/>
      <w:jc w:val="left"/>
      <w:rPr>
        <w:rStyle w:val="214"/>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214"/>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p>
  <w:p w14:paraId="1BC35BC5">
    <w:pPr>
      <w:widowControl w:val="0"/>
      <w:jc w:val="left"/>
      <w:rPr>
        <w:rFonts w:ascii="Times New Roman" w:hAnsi="Times New Roman" w:eastAsia="宋体" w:cs="Times New Roman"/>
        <w:sz w:val="18"/>
        <w:szCs w:val="18"/>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CFDEA">
    <w:pPr>
      <w:pStyle w:val="205"/>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3C4A1D">
                          <w:pPr>
                            <w:pStyle w:val="1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14:paraId="233C4A1D">
                    <w:pPr>
                      <w:pStyle w:val="19"/>
                    </w:pPr>
                    <w:r>
                      <w:fldChar w:fldCharType="begin"/>
                    </w:r>
                    <w:r>
                      <w:instrText xml:space="preserve"> PAGE  \* MERGEFORMAT </w:instrText>
                    </w:r>
                    <w:r>
                      <w:fldChar w:fldCharType="separate"/>
                    </w:r>
                    <w:r>
                      <w:t>65</w:t>
                    </w:r>
                    <w:r>
                      <w:fldChar w:fldCharType="end"/>
                    </w:r>
                  </w:p>
                </w:txbxContent>
              </v:textbox>
            </v:shape>
          </w:pict>
        </mc:Fallback>
      </mc:AlternateContent>
    </w:r>
  </w:p>
  <w:p w14:paraId="7359AC5F">
    <w:pPr>
      <w:pStyle w:val="20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8525A">
    <w:pPr>
      <w:spacing w:before="48" w:line="223" w:lineRule="auto"/>
      <w:jc w:val="center"/>
      <w:rPr>
        <w:rFonts w:ascii="宋体" w:hAnsi="宋体" w:eastAsia="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880745</wp:posOffset>
              </wp:positionH>
              <wp:positionV relativeFrom="page">
                <wp:posOffset>701040</wp:posOffset>
              </wp:positionV>
              <wp:extent cx="5979795" cy="9525"/>
              <wp:effectExtent l="0" t="0" r="0" b="0"/>
              <wp:wrapNone/>
              <wp:docPr id="1" name="任意多边形 1025"/>
              <wp:cNvGraphicFramePr/>
              <a:graphic xmlns:a="http://schemas.openxmlformats.org/drawingml/2006/main">
                <a:graphicData uri="http://schemas.microsoft.com/office/word/2010/wordprocessingShape">
                  <wps:wsp>
                    <wps:cNvSpPr/>
                    <wps:spPr>
                      <a:xfrm>
                        <a:off x="0" y="0"/>
                        <a:ext cx="5979795" cy="9525"/>
                      </a:xfrm>
                      <a:custGeom>
                        <a:avLst/>
                        <a:gdLst/>
                        <a:ahLst/>
                        <a:cxnLst/>
                        <a:pathLst>
                          <a:path w="9417" h="15">
                            <a:moveTo>
                              <a:pt x="0" y="14"/>
                            </a:moveTo>
                            <a:lnTo>
                              <a:pt x="9416" y="14"/>
                            </a:lnTo>
                            <a:lnTo>
                              <a:pt x="9416" y="0"/>
                            </a:lnTo>
                            <a:lnTo>
                              <a:pt x="0" y="0"/>
                            </a:lnTo>
                            <a:lnTo>
                              <a:pt x="0" y="14"/>
                            </a:lnTo>
                            <a:close/>
                          </a:path>
                        </a:pathLst>
                      </a:custGeom>
                      <a:solidFill>
                        <a:srgbClr val="000000"/>
                      </a:solidFill>
                      <a:ln>
                        <a:noFill/>
                      </a:ln>
                    </wps:spPr>
                    <wps:bodyPr upright="1"/>
                  </wps:wsp>
                </a:graphicData>
              </a:graphic>
            </wp:anchor>
          </w:drawing>
        </mc:Choice>
        <mc:Fallback>
          <w:pict>
            <v:shape id="任意多边形 1025" o:spid="_x0000_s1026" o:spt="100" style="position:absolute;left:0pt;margin-left:69.35pt;margin-top:55.2pt;height:0.75pt;width:470.85pt;mso-position-horizontal-relative:page;mso-position-vertical-relative:page;z-index:251659264;mso-width-relative:page;mso-height-relative:page;" fillcolor="#000000" filled="t" stroked="f" coordsize="9417,15" o:allowincell="f" o:gfxdata="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4b5S/YAAAADAEAAA8A&#10;AAAAAAAAAQAgAAAAIgAAAGRycy9kb3ducmV2LnhtbFBLAQIUABQAAAAIAIdO4kAOWd/LFwIAAH8E&#10;AAAOAAAAAAAAAAEAIAAAACcBAABkcnMvZTJvRG9jLnhtbFBLBQYAAAAABgAGAFkBAACwBQAAAAA=&#10;" path="m0,14l9416,14,9416,0,0,0,0,14xe">
              <v:fill on="t" focussize="0,0"/>
              <v:stroke on="f"/>
              <v:imagedata o:title=""/>
              <o:lock v:ext="edit" aspectratio="f"/>
            </v:shape>
          </w:pict>
        </mc:Fallback>
      </mc:AlternateContent>
    </w:r>
    <w:r>
      <w:rPr>
        <w:rFonts w:hint="eastAsia" w:ascii="宋体" w:hAnsi="宋体" w:eastAsia="宋体" w:cs="宋体"/>
        <w:spacing w:val="-3"/>
        <w:sz w:val="18"/>
        <w:szCs w:val="18"/>
        <w:lang w:val="en-US" w:eastAsia="zh-CN"/>
      </w:rPr>
      <w:t xml:space="preserve">                                                                                 </w:t>
    </w:r>
    <w:r>
      <w:rPr>
        <w:rFonts w:ascii="宋体" w:hAnsi="宋体" w:eastAsia="宋体" w:cs="宋体"/>
        <w:spacing w:val="-3"/>
        <w:sz w:val="18"/>
        <w:szCs w:val="18"/>
      </w:rPr>
      <w:t>公开招标</w:t>
    </w:r>
    <w:r>
      <w:rPr>
        <w:rFonts w:hint="eastAsia" w:ascii="宋体" w:hAnsi="宋体" w:eastAsia="宋体" w:cs="宋体"/>
        <w:spacing w:val="-3"/>
        <w:sz w:val="18"/>
        <w:szCs w:val="18"/>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63A3C">
    <w:pPr>
      <w:widowControl w:val="0"/>
      <w:pBdr>
        <w:bottom w:val="single" w:color="000000" w:sz="6" w:space="1"/>
      </w:pBdr>
      <w:tabs>
        <w:tab w:val="left" w:pos="7485"/>
      </w:tabs>
      <w:jc w:val="both"/>
      <w:rPr>
        <w:rFonts w:ascii="Times New Roman"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904E95"/>
    <w:multiLevelType w:val="singleLevel"/>
    <w:tmpl w:val="2C904E95"/>
    <w:lvl w:ilvl="0" w:tentative="0">
      <w:start w:val="3"/>
      <w:numFmt w:val="chineseCounting"/>
      <w:suff w:val="nothing"/>
      <w:lvlText w:val="（%1）"/>
      <w:lvlJc w:val="left"/>
      <w:rPr>
        <w:rFonts w:hint="eastAsia"/>
      </w:rPr>
    </w:lvl>
  </w:abstractNum>
  <w:abstractNum w:abstractNumId="1">
    <w:nsid w:val="53177E91"/>
    <w:multiLevelType w:val="singleLevel"/>
    <w:tmpl w:val="53177E91"/>
    <w:lvl w:ilvl="0" w:tentative="0">
      <w:start w:val="3"/>
      <w:numFmt w:val="chineseCounting"/>
      <w:suff w:val="space"/>
      <w:lvlText w:val="第%1章"/>
      <w:lvlJc w:val="left"/>
      <w:rPr>
        <w:rFonts w:hint="eastAsia"/>
      </w:rPr>
    </w:lvl>
  </w:abstractNum>
  <w:abstractNum w:abstractNumId="2">
    <w:nsid w:val="6216291F"/>
    <w:multiLevelType w:val="multilevel"/>
    <w:tmpl w:val="6216291F"/>
    <w:lvl w:ilvl="0" w:tentative="0">
      <w:start w:val="6"/>
      <w:numFmt w:val="chineseCounting"/>
      <w:suff w:val="space"/>
      <w:lvlText w:val="第%1条"/>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4EF2"/>
    <w:rsid w:val="00086A83"/>
    <w:rsid w:val="000969AD"/>
    <w:rsid w:val="00164C26"/>
    <w:rsid w:val="003D2C92"/>
    <w:rsid w:val="00481283"/>
    <w:rsid w:val="00500138"/>
    <w:rsid w:val="005D4603"/>
    <w:rsid w:val="00692FA7"/>
    <w:rsid w:val="007641CF"/>
    <w:rsid w:val="007D3680"/>
    <w:rsid w:val="008D313A"/>
    <w:rsid w:val="009F2E6D"/>
    <w:rsid w:val="00AE4E5E"/>
    <w:rsid w:val="00C006A1"/>
    <w:rsid w:val="00E865C2"/>
    <w:rsid w:val="010417B4"/>
    <w:rsid w:val="01211AD4"/>
    <w:rsid w:val="012810B4"/>
    <w:rsid w:val="012A4E2C"/>
    <w:rsid w:val="012D0479"/>
    <w:rsid w:val="01317F69"/>
    <w:rsid w:val="016F7E96"/>
    <w:rsid w:val="01993D60"/>
    <w:rsid w:val="019B3634"/>
    <w:rsid w:val="01DD59FB"/>
    <w:rsid w:val="01EE19B6"/>
    <w:rsid w:val="01F33470"/>
    <w:rsid w:val="023A59E3"/>
    <w:rsid w:val="02474E18"/>
    <w:rsid w:val="027F4D04"/>
    <w:rsid w:val="0281282A"/>
    <w:rsid w:val="02BD75DA"/>
    <w:rsid w:val="02D212D8"/>
    <w:rsid w:val="02E42DB9"/>
    <w:rsid w:val="030D582D"/>
    <w:rsid w:val="03102828"/>
    <w:rsid w:val="031511C4"/>
    <w:rsid w:val="03345AEF"/>
    <w:rsid w:val="035B751F"/>
    <w:rsid w:val="036839EA"/>
    <w:rsid w:val="03B409DD"/>
    <w:rsid w:val="03BB6210"/>
    <w:rsid w:val="03CA0201"/>
    <w:rsid w:val="03D270B5"/>
    <w:rsid w:val="040316BD"/>
    <w:rsid w:val="040516B2"/>
    <w:rsid w:val="040E548E"/>
    <w:rsid w:val="041D6583"/>
    <w:rsid w:val="04285CA2"/>
    <w:rsid w:val="042A6EF2"/>
    <w:rsid w:val="0458580D"/>
    <w:rsid w:val="046B19E4"/>
    <w:rsid w:val="047343F5"/>
    <w:rsid w:val="04BD600B"/>
    <w:rsid w:val="04D96EE6"/>
    <w:rsid w:val="04EA6DAD"/>
    <w:rsid w:val="05064094"/>
    <w:rsid w:val="050D65F7"/>
    <w:rsid w:val="05183A48"/>
    <w:rsid w:val="051931EE"/>
    <w:rsid w:val="05280D7C"/>
    <w:rsid w:val="052E6856"/>
    <w:rsid w:val="053242B0"/>
    <w:rsid w:val="053A13B6"/>
    <w:rsid w:val="054F6C10"/>
    <w:rsid w:val="055661F0"/>
    <w:rsid w:val="05583F39"/>
    <w:rsid w:val="05730B66"/>
    <w:rsid w:val="058A40EC"/>
    <w:rsid w:val="05A54A82"/>
    <w:rsid w:val="05D9297D"/>
    <w:rsid w:val="05E05ABA"/>
    <w:rsid w:val="05FB6D97"/>
    <w:rsid w:val="061F2A86"/>
    <w:rsid w:val="06293905"/>
    <w:rsid w:val="06372F00"/>
    <w:rsid w:val="065A3ABE"/>
    <w:rsid w:val="065E1207"/>
    <w:rsid w:val="066466EB"/>
    <w:rsid w:val="066B5CCB"/>
    <w:rsid w:val="066C559F"/>
    <w:rsid w:val="06732DD2"/>
    <w:rsid w:val="06744454"/>
    <w:rsid w:val="0687062B"/>
    <w:rsid w:val="06C4362D"/>
    <w:rsid w:val="06D01FD2"/>
    <w:rsid w:val="06D05B2E"/>
    <w:rsid w:val="06DA075B"/>
    <w:rsid w:val="071426B7"/>
    <w:rsid w:val="0721638A"/>
    <w:rsid w:val="07216531"/>
    <w:rsid w:val="072D11D3"/>
    <w:rsid w:val="074B3407"/>
    <w:rsid w:val="074E2EF7"/>
    <w:rsid w:val="07610E7C"/>
    <w:rsid w:val="07635050"/>
    <w:rsid w:val="0765096C"/>
    <w:rsid w:val="076D15CF"/>
    <w:rsid w:val="076D41EB"/>
    <w:rsid w:val="078D7EC3"/>
    <w:rsid w:val="079254DA"/>
    <w:rsid w:val="079C1EB4"/>
    <w:rsid w:val="07C136C9"/>
    <w:rsid w:val="07CE52D4"/>
    <w:rsid w:val="07E21FBD"/>
    <w:rsid w:val="08234384"/>
    <w:rsid w:val="082C200E"/>
    <w:rsid w:val="08470072"/>
    <w:rsid w:val="08607386"/>
    <w:rsid w:val="087846CF"/>
    <w:rsid w:val="087F780C"/>
    <w:rsid w:val="08975873"/>
    <w:rsid w:val="08B03E69"/>
    <w:rsid w:val="08B206B3"/>
    <w:rsid w:val="08B82D1E"/>
    <w:rsid w:val="08C16076"/>
    <w:rsid w:val="08E314A9"/>
    <w:rsid w:val="08F33D56"/>
    <w:rsid w:val="08F43C68"/>
    <w:rsid w:val="094F65B3"/>
    <w:rsid w:val="095C7B4D"/>
    <w:rsid w:val="097237E4"/>
    <w:rsid w:val="097D1A3A"/>
    <w:rsid w:val="09842C00"/>
    <w:rsid w:val="098D4A04"/>
    <w:rsid w:val="098E1A6C"/>
    <w:rsid w:val="099B1D99"/>
    <w:rsid w:val="09AF5ECF"/>
    <w:rsid w:val="09CA0F5B"/>
    <w:rsid w:val="09CD45A7"/>
    <w:rsid w:val="09F204B1"/>
    <w:rsid w:val="09F71624"/>
    <w:rsid w:val="0A053D41"/>
    <w:rsid w:val="0A1421D6"/>
    <w:rsid w:val="0A2B76A7"/>
    <w:rsid w:val="0A4505E9"/>
    <w:rsid w:val="0A4A209B"/>
    <w:rsid w:val="0A5A1386"/>
    <w:rsid w:val="0A6767AA"/>
    <w:rsid w:val="0A7F7F97"/>
    <w:rsid w:val="0A8C5804"/>
    <w:rsid w:val="0ADA46A6"/>
    <w:rsid w:val="0ADF0A36"/>
    <w:rsid w:val="0AE4604C"/>
    <w:rsid w:val="0AEA2F37"/>
    <w:rsid w:val="0AFB5144"/>
    <w:rsid w:val="0B0264D2"/>
    <w:rsid w:val="0B0650AD"/>
    <w:rsid w:val="0B2B5A29"/>
    <w:rsid w:val="0B422D73"/>
    <w:rsid w:val="0B48482D"/>
    <w:rsid w:val="0B696C50"/>
    <w:rsid w:val="0B6F53F1"/>
    <w:rsid w:val="0BAA5EE2"/>
    <w:rsid w:val="0BC55E7E"/>
    <w:rsid w:val="0BEF2EFA"/>
    <w:rsid w:val="0C281F69"/>
    <w:rsid w:val="0C311318"/>
    <w:rsid w:val="0C395F24"/>
    <w:rsid w:val="0C4843B9"/>
    <w:rsid w:val="0C4A134F"/>
    <w:rsid w:val="0C4A1EDF"/>
    <w:rsid w:val="0C53133C"/>
    <w:rsid w:val="0C6A07D3"/>
    <w:rsid w:val="0C8A2C23"/>
    <w:rsid w:val="0C9A2ECD"/>
    <w:rsid w:val="0CAA6E21"/>
    <w:rsid w:val="0CAF61E6"/>
    <w:rsid w:val="0CBC5489"/>
    <w:rsid w:val="0CC33225"/>
    <w:rsid w:val="0CDB522D"/>
    <w:rsid w:val="0CEF0915"/>
    <w:rsid w:val="0D0522AA"/>
    <w:rsid w:val="0D0E5602"/>
    <w:rsid w:val="0D1150F2"/>
    <w:rsid w:val="0D1D4D47"/>
    <w:rsid w:val="0D1F511A"/>
    <w:rsid w:val="0D324D1E"/>
    <w:rsid w:val="0D470B14"/>
    <w:rsid w:val="0D5F2586"/>
    <w:rsid w:val="0D7D775A"/>
    <w:rsid w:val="0D89398D"/>
    <w:rsid w:val="0DA6583B"/>
    <w:rsid w:val="0DA72754"/>
    <w:rsid w:val="0DA87805"/>
    <w:rsid w:val="0DB963BF"/>
    <w:rsid w:val="0DBB793A"/>
    <w:rsid w:val="0DCB34F3"/>
    <w:rsid w:val="0DD405FA"/>
    <w:rsid w:val="0DDA1988"/>
    <w:rsid w:val="0DEA0FA8"/>
    <w:rsid w:val="0DED76EC"/>
    <w:rsid w:val="0E0662D9"/>
    <w:rsid w:val="0E176739"/>
    <w:rsid w:val="0E1E3623"/>
    <w:rsid w:val="0E5928AD"/>
    <w:rsid w:val="0E7771D7"/>
    <w:rsid w:val="0E8C2C83"/>
    <w:rsid w:val="0E947D89"/>
    <w:rsid w:val="0E97177E"/>
    <w:rsid w:val="0EA3277B"/>
    <w:rsid w:val="0EAA4EB7"/>
    <w:rsid w:val="0EAE0E4B"/>
    <w:rsid w:val="0EC817E1"/>
    <w:rsid w:val="0EC9736F"/>
    <w:rsid w:val="0ECF0DC1"/>
    <w:rsid w:val="0ED87C76"/>
    <w:rsid w:val="0EFB005A"/>
    <w:rsid w:val="0F0F7410"/>
    <w:rsid w:val="0F2377E5"/>
    <w:rsid w:val="0F36499C"/>
    <w:rsid w:val="0F4277E5"/>
    <w:rsid w:val="0F5F0397"/>
    <w:rsid w:val="0F625791"/>
    <w:rsid w:val="0F6C03BE"/>
    <w:rsid w:val="0F8E6586"/>
    <w:rsid w:val="0F955B67"/>
    <w:rsid w:val="0FA43FFC"/>
    <w:rsid w:val="0FCB1589"/>
    <w:rsid w:val="0FE471FD"/>
    <w:rsid w:val="100E76C7"/>
    <w:rsid w:val="10172A20"/>
    <w:rsid w:val="101C1DE4"/>
    <w:rsid w:val="103B4960"/>
    <w:rsid w:val="104430E9"/>
    <w:rsid w:val="104F3F68"/>
    <w:rsid w:val="1052170E"/>
    <w:rsid w:val="1065378B"/>
    <w:rsid w:val="107C0AD5"/>
    <w:rsid w:val="10936117"/>
    <w:rsid w:val="10961B97"/>
    <w:rsid w:val="10AF4A06"/>
    <w:rsid w:val="10B6045C"/>
    <w:rsid w:val="10BF1371"/>
    <w:rsid w:val="10E02E12"/>
    <w:rsid w:val="10ED552F"/>
    <w:rsid w:val="110805BA"/>
    <w:rsid w:val="11087FD7"/>
    <w:rsid w:val="1110186D"/>
    <w:rsid w:val="112E1562"/>
    <w:rsid w:val="114E06C3"/>
    <w:rsid w:val="11567578"/>
    <w:rsid w:val="115F642C"/>
    <w:rsid w:val="1173012A"/>
    <w:rsid w:val="11795506"/>
    <w:rsid w:val="11835FE2"/>
    <w:rsid w:val="118539B9"/>
    <w:rsid w:val="118B7221"/>
    <w:rsid w:val="11915C6C"/>
    <w:rsid w:val="11B83D8F"/>
    <w:rsid w:val="11CD0504"/>
    <w:rsid w:val="11D34725"/>
    <w:rsid w:val="11D861DF"/>
    <w:rsid w:val="11E22BBA"/>
    <w:rsid w:val="12080872"/>
    <w:rsid w:val="122B630F"/>
    <w:rsid w:val="12394ECF"/>
    <w:rsid w:val="12486EC1"/>
    <w:rsid w:val="12492C39"/>
    <w:rsid w:val="12575356"/>
    <w:rsid w:val="125A4E46"/>
    <w:rsid w:val="125C6E10"/>
    <w:rsid w:val="12751C80"/>
    <w:rsid w:val="12791770"/>
    <w:rsid w:val="127D387F"/>
    <w:rsid w:val="12940358"/>
    <w:rsid w:val="12AA1929"/>
    <w:rsid w:val="12BF58DE"/>
    <w:rsid w:val="12E52961"/>
    <w:rsid w:val="12ED1816"/>
    <w:rsid w:val="13066E15"/>
    <w:rsid w:val="130B33CC"/>
    <w:rsid w:val="130C6140"/>
    <w:rsid w:val="13413D6E"/>
    <w:rsid w:val="134C0C32"/>
    <w:rsid w:val="134D0954"/>
    <w:rsid w:val="1355733F"/>
    <w:rsid w:val="135E2714"/>
    <w:rsid w:val="1379754E"/>
    <w:rsid w:val="138C102F"/>
    <w:rsid w:val="139A199E"/>
    <w:rsid w:val="139D445C"/>
    <w:rsid w:val="13E250F3"/>
    <w:rsid w:val="13E93B05"/>
    <w:rsid w:val="13EB3FA7"/>
    <w:rsid w:val="142A7957"/>
    <w:rsid w:val="142C122E"/>
    <w:rsid w:val="14691370"/>
    <w:rsid w:val="146A39EB"/>
    <w:rsid w:val="147A357D"/>
    <w:rsid w:val="148461AA"/>
    <w:rsid w:val="14883EEC"/>
    <w:rsid w:val="14991C55"/>
    <w:rsid w:val="149C7998"/>
    <w:rsid w:val="14B47383"/>
    <w:rsid w:val="14C03686"/>
    <w:rsid w:val="14D013EF"/>
    <w:rsid w:val="14D0319D"/>
    <w:rsid w:val="14D25715"/>
    <w:rsid w:val="14DB226E"/>
    <w:rsid w:val="14EF5D19"/>
    <w:rsid w:val="14F7697C"/>
    <w:rsid w:val="14FB646C"/>
    <w:rsid w:val="151B6ADC"/>
    <w:rsid w:val="151D2886"/>
    <w:rsid w:val="1528122B"/>
    <w:rsid w:val="152B22BF"/>
    <w:rsid w:val="155A34EB"/>
    <w:rsid w:val="15785D0F"/>
    <w:rsid w:val="1582093B"/>
    <w:rsid w:val="15B66837"/>
    <w:rsid w:val="15BD5E17"/>
    <w:rsid w:val="15C140F7"/>
    <w:rsid w:val="15C90318"/>
    <w:rsid w:val="15D13671"/>
    <w:rsid w:val="16146DFF"/>
    <w:rsid w:val="16157A01"/>
    <w:rsid w:val="16175528"/>
    <w:rsid w:val="164F4B0E"/>
    <w:rsid w:val="16581C05"/>
    <w:rsid w:val="165D6CB3"/>
    <w:rsid w:val="166242C9"/>
    <w:rsid w:val="168E3310"/>
    <w:rsid w:val="1695644C"/>
    <w:rsid w:val="169F1079"/>
    <w:rsid w:val="16B03286"/>
    <w:rsid w:val="16C44F84"/>
    <w:rsid w:val="16CD208A"/>
    <w:rsid w:val="16D95624"/>
    <w:rsid w:val="16DA6555"/>
    <w:rsid w:val="16DE7DF3"/>
    <w:rsid w:val="16FC733D"/>
    <w:rsid w:val="17051824"/>
    <w:rsid w:val="170B670F"/>
    <w:rsid w:val="171A0D29"/>
    <w:rsid w:val="17311B29"/>
    <w:rsid w:val="17555BDC"/>
    <w:rsid w:val="17650515"/>
    <w:rsid w:val="17872239"/>
    <w:rsid w:val="178D5376"/>
    <w:rsid w:val="17B172B6"/>
    <w:rsid w:val="17D36241"/>
    <w:rsid w:val="17DF26BE"/>
    <w:rsid w:val="17EC425D"/>
    <w:rsid w:val="17EE4066"/>
    <w:rsid w:val="17F17FFA"/>
    <w:rsid w:val="17F378CF"/>
    <w:rsid w:val="180F222F"/>
    <w:rsid w:val="181D0DEF"/>
    <w:rsid w:val="1821268E"/>
    <w:rsid w:val="183D0F8D"/>
    <w:rsid w:val="1849226A"/>
    <w:rsid w:val="18622CA6"/>
    <w:rsid w:val="18695DE3"/>
    <w:rsid w:val="187F7DB2"/>
    <w:rsid w:val="1890511D"/>
    <w:rsid w:val="18982224"/>
    <w:rsid w:val="18D47700"/>
    <w:rsid w:val="18E37943"/>
    <w:rsid w:val="18F02060"/>
    <w:rsid w:val="18F90F15"/>
    <w:rsid w:val="18FA4D73"/>
    <w:rsid w:val="18FF22A3"/>
    <w:rsid w:val="19263CD4"/>
    <w:rsid w:val="19636636"/>
    <w:rsid w:val="19683FBD"/>
    <w:rsid w:val="19A5109C"/>
    <w:rsid w:val="19A93BA7"/>
    <w:rsid w:val="19BE3F0C"/>
    <w:rsid w:val="19C21C4E"/>
    <w:rsid w:val="19C9479C"/>
    <w:rsid w:val="19FD2C86"/>
    <w:rsid w:val="1A02029D"/>
    <w:rsid w:val="1A042784"/>
    <w:rsid w:val="1A0E6C42"/>
    <w:rsid w:val="1A0F29BA"/>
    <w:rsid w:val="1A206975"/>
    <w:rsid w:val="1A646862"/>
    <w:rsid w:val="1A907657"/>
    <w:rsid w:val="1A9B5FFB"/>
    <w:rsid w:val="1AC8358C"/>
    <w:rsid w:val="1AED2CFB"/>
    <w:rsid w:val="1AED4AA9"/>
    <w:rsid w:val="1AF06347"/>
    <w:rsid w:val="1B09565B"/>
    <w:rsid w:val="1B0C184C"/>
    <w:rsid w:val="1B261D69"/>
    <w:rsid w:val="1B2B55D1"/>
    <w:rsid w:val="1B391A9C"/>
    <w:rsid w:val="1B3E70B3"/>
    <w:rsid w:val="1B446693"/>
    <w:rsid w:val="1B4D19EC"/>
    <w:rsid w:val="1B6D7998"/>
    <w:rsid w:val="1B9C64CF"/>
    <w:rsid w:val="1BA75BB0"/>
    <w:rsid w:val="1BD96D21"/>
    <w:rsid w:val="1BEA723A"/>
    <w:rsid w:val="1BF41E67"/>
    <w:rsid w:val="1BFB31F6"/>
    <w:rsid w:val="1C1E0C92"/>
    <w:rsid w:val="1C290AE6"/>
    <w:rsid w:val="1C2E0393"/>
    <w:rsid w:val="1C33473D"/>
    <w:rsid w:val="1C3E1334"/>
    <w:rsid w:val="1C44694B"/>
    <w:rsid w:val="1C5D76A9"/>
    <w:rsid w:val="1C6C40F3"/>
    <w:rsid w:val="1C7D00AF"/>
    <w:rsid w:val="1CA049DC"/>
    <w:rsid w:val="1CA67605"/>
    <w:rsid w:val="1CA76EDA"/>
    <w:rsid w:val="1CCB7BB6"/>
    <w:rsid w:val="1CDD6D9F"/>
    <w:rsid w:val="1CEC0D90"/>
    <w:rsid w:val="1D022362"/>
    <w:rsid w:val="1D0E6F59"/>
    <w:rsid w:val="1D263407"/>
    <w:rsid w:val="1D344C11"/>
    <w:rsid w:val="1D5C4168"/>
    <w:rsid w:val="1D8A5052"/>
    <w:rsid w:val="1D992CC6"/>
    <w:rsid w:val="1DE06B47"/>
    <w:rsid w:val="1DF42207"/>
    <w:rsid w:val="1E066426"/>
    <w:rsid w:val="1E1D56A5"/>
    <w:rsid w:val="1E1D5C42"/>
    <w:rsid w:val="1E1E038F"/>
    <w:rsid w:val="1E320A25"/>
    <w:rsid w:val="1E403142"/>
    <w:rsid w:val="1E530268"/>
    <w:rsid w:val="1E5310C7"/>
    <w:rsid w:val="1E592455"/>
    <w:rsid w:val="1E62755C"/>
    <w:rsid w:val="1E793B0D"/>
    <w:rsid w:val="1E796654"/>
    <w:rsid w:val="1E7E1EBC"/>
    <w:rsid w:val="1E803E86"/>
    <w:rsid w:val="1EB661F5"/>
    <w:rsid w:val="1EC024D4"/>
    <w:rsid w:val="1EC91389"/>
    <w:rsid w:val="1ED63AA6"/>
    <w:rsid w:val="1EF1268E"/>
    <w:rsid w:val="1F071EB1"/>
    <w:rsid w:val="1F176598"/>
    <w:rsid w:val="1F4768B4"/>
    <w:rsid w:val="1F59095F"/>
    <w:rsid w:val="1F6A2B6C"/>
    <w:rsid w:val="1F8F4381"/>
    <w:rsid w:val="1F973235"/>
    <w:rsid w:val="1F980D5B"/>
    <w:rsid w:val="1FB43DE7"/>
    <w:rsid w:val="1FCF0C21"/>
    <w:rsid w:val="1FD77AD6"/>
    <w:rsid w:val="1FED72F9"/>
    <w:rsid w:val="1FEF4E1F"/>
    <w:rsid w:val="20000DDB"/>
    <w:rsid w:val="200603BB"/>
    <w:rsid w:val="201E74B3"/>
    <w:rsid w:val="20370574"/>
    <w:rsid w:val="203D01A7"/>
    <w:rsid w:val="203E7B55"/>
    <w:rsid w:val="204607B7"/>
    <w:rsid w:val="204B17C1"/>
    <w:rsid w:val="20631369"/>
    <w:rsid w:val="20653333"/>
    <w:rsid w:val="2065650E"/>
    <w:rsid w:val="20724A3B"/>
    <w:rsid w:val="20765541"/>
    <w:rsid w:val="20947775"/>
    <w:rsid w:val="209B0C7D"/>
    <w:rsid w:val="20A60562"/>
    <w:rsid w:val="20A7394C"/>
    <w:rsid w:val="20BB1E21"/>
    <w:rsid w:val="20BC7932"/>
    <w:rsid w:val="20EE157B"/>
    <w:rsid w:val="20F16975"/>
    <w:rsid w:val="21096F89"/>
    <w:rsid w:val="21224D81"/>
    <w:rsid w:val="21336F8E"/>
    <w:rsid w:val="21350F58"/>
    <w:rsid w:val="21366A7E"/>
    <w:rsid w:val="21374CD0"/>
    <w:rsid w:val="213B1A16"/>
    <w:rsid w:val="213F1DD6"/>
    <w:rsid w:val="2159176B"/>
    <w:rsid w:val="21645399"/>
    <w:rsid w:val="216B497A"/>
    <w:rsid w:val="2186530F"/>
    <w:rsid w:val="21D40771"/>
    <w:rsid w:val="21DA38AD"/>
    <w:rsid w:val="21E604A4"/>
    <w:rsid w:val="21F42BC1"/>
    <w:rsid w:val="21FE57EE"/>
    <w:rsid w:val="22010E3A"/>
    <w:rsid w:val="22140B6D"/>
    <w:rsid w:val="223338BC"/>
    <w:rsid w:val="223E5BEA"/>
    <w:rsid w:val="22596EC8"/>
    <w:rsid w:val="22603DB2"/>
    <w:rsid w:val="226A2E83"/>
    <w:rsid w:val="229722EC"/>
    <w:rsid w:val="22AC349C"/>
    <w:rsid w:val="22B61C24"/>
    <w:rsid w:val="22CA56D0"/>
    <w:rsid w:val="22D8603F"/>
    <w:rsid w:val="23007343"/>
    <w:rsid w:val="23144B9D"/>
    <w:rsid w:val="231D1CA3"/>
    <w:rsid w:val="23371A75"/>
    <w:rsid w:val="233A0AA7"/>
    <w:rsid w:val="23782997"/>
    <w:rsid w:val="23994B9D"/>
    <w:rsid w:val="23B819CC"/>
    <w:rsid w:val="23D902C0"/>
    <w:rsid w:val="23F32A04"/>
    <w:rsid w:val="24044C11"/>
    <w:rsid w:val="24156E1F"/>
    <w:rsid w:val="24174945"/>
    <w:rsid w:val="2419690F"/>
    <w:rsid w:val="241F0EFF"/>
    <w:rsid w:val="24443260"/>
    <w:rsid w:val="24482D50"/>
    <w:rsid w:val="2449793E"/>
    <w:rsid w:val="244A2F6C"/>
    <w:rsid w:val="245416F5"/>
    <w:rsid w:val="245E2574"/>
    <w:rsid w:val="24815BA6"/>
    <w:rsid w:val="24831FDA"/>
    <w:rsid w:val="248A0515"/>
    <w:rsid w:val="24942439"/>
    <w:rsid w:val="249B37C8"/>
    <w:rsid w:val="24B2466D"/>
    <w:rsid w:val="24ED0FDA"/>
    <w:rsid w:val="24EF58C2"/>
    <w:rsid w:val="250D30FC"/>
    <w:rsid w:val="25197744"/>
    <w:rsid w:val="252F5CBE"/>
    <w:rsid w:val="253432D4"/>
    <w:rsid w:val="255D282B"/>
    <w:rsid w:val="25654FBE"/>
    <w:rsid w:val="256911D0"/>
    <w:rsid w:val="257C1EB5"/>
    <w:rsid w:val="25A22934"/>
    <w:rsid w:val="25A246E2"/>
    <w:rsid w:val="25A466AC"/>
    <w:rsid w:val="25C26B32"/>
    <w:rsid w:val="25DD4AD6"/>
    <w:rsid w:val="25E46AA9"/>
    <w:rsid w:val="260158AC"/>
    <w:rsid w:val="2604714B"/>
    <w:rsid w:val="26146B0C"/>
    <w:rsid w:val="2624159B"/>
    <w:rsid w:val="263A491A"/>
    <w:rsid w:val="263E08AF"/>
    <w:rsid w:val="264B189A"/>
    <w:rsid w:val="2650413E"/>
    <w:rsid w:val="26541E80"/>
    <w:rsid w:val="26571758"/>
    <w:rsid w:val="265E685B"/>
    <w:rsid w:val="2661459D"/>
    <w:rsid w:val="266A3452"/>
    <w:rsid w:val="26751DF6"/>
    <w:rsid w:val="268B5931"/>
    <w:rsid w:val="26971D6D"/>
    <w:rsid w:val="269B7B47"/>
    <w:rsid w:val="26A60202"/>
    <w:rsid w:val="26A81D79"/>
    <w:rsid w:val="26C520B1"/>
    <w:rsid w:val="26D66D39"/>
    <w:rsid w:val="26E119EC"/>
    <w:rsid w:val="26FE1DEC"/>
    <w:rsid w:val="27035654"/>
    <w:rsid w:val="27054F28"/>
    <w:rsid w:val="27070CA1"/>
    <w:rsid w:val="27084A19"/>
    <w:rsid w:val="271B246D"/>
    <w:rsid w:val="271B299E"/>
    <w:rsid w:val="272730F1"/>
    <w:rsid w:val="27624129"/>
    <w:rsid w:val="27781B9E"/>
    <w:rsid w:val="27A6495D"/>
    <w:rsid w:val="27B0758A"/>
    <w:rsid w:val="27B60642"/>
    <w:rsid w:val="27D43A93"/>
    <w:rsid w:val="27F356C9"/>
    <w:rsid w:val="27F84A8D"/>
    <w:rsid w:val="28101DD7"/>
    <w:rsid w:val="281178FD"/>
    <w:rsid w:val="28247630"/>
    <w:rsid w:val="282B4E63"/>
    <w:rsid w:val="284321AC"/>
    <w:rsid w:val="284657F9"/>
    <w:rsid w:val="286B15D4"/>
    <w:rsid w:val="2880399B"/>
    <w:rsid w:val="2895052E"/>
    <w:rsid w:val="289724F8"/>
    <w:rsid w:val="28A569C3"/>
    <w:rsid w:val="28C57065"/>
    <w:rsid w:val="28F45255"/>
    <w:rsid w:val="29254418"/>
    <w:rsid w:val="292E4C0A"/>
    <w:rsid w:val="29325D7D"/>
    <w:rsid w:val="2987431B"/>
    <w:rsid w:val="299A5ACE"/>
    <w:rsid w:val="29B42C36"/>
    <w:rsid w:val="29C72969"/>
    <w:rsid w:val="29CC4423"/>
    <w:rsid w:val="29DA269C"/>
    <w:rsid w:val="29FA2D3E"/>
    <w:rsid w:val="2A0E67EA"/>
    <w:rsid w:val="2A375D41"/>
    <w:rsid w:val="2A391AB9"/>
    <w:rsid w:val="2A3E115C"/>
    <w:rsid w:val="2A465F84"/>
    <w:rsid w:val="2A7568C0"/>
    <w:rsid w:val="2A7D127A"/>
    <w:rsid w:val="2AB32ACA"/>
    <w:rsid w:val="2ACA2711"/>
    <w:rsid w:val="2AD52E64"/>
    <w:rsid w:val="2AE61515"/>
    <w:rsid w:val="2AEA167A"/>
    <w:rsid w:val="2AFB6D6E"/>
    <w:rsid w:val="2B275DB5"/>
    <w:rsid w:val="2B4104F9"/>
    <w:rsid w:val="2B487ADA"/>
    <w:rsid w:val="2B563FA5"/>
    <w:rsid w:val="2B74267D"/>
    <w:rsid w:val="2B7D7783"/>
    <w:rsid w:val="2B7F799F"/>
    <w:rsid w:val="2BA967CA"/>
    <w:rsid w:val="2BAE3DE1"/>
    <w:rsid w:val="2BB8344C"/>
    <w:rsid w:val="2BCE4483"/>
    <w:rsid w:val="2BDA2E28"/>
    <w:rsid w:val="2BE05F64"/>
    <w:rsid w:val="2C0A4D8F"/>
    <w:rsid w:val="2C0C1B4C"/>
    <w:rsid w:val="2C0E0D23"/>
    <w:rsid w:val="2C271DE5"/>
    <w:rsid w:val="2C295BFB"/>
    <w:rsid w:val="2C310437"/>
    <w:rsid w:val="2C557A65"/>
    <w:rsid w:val="2C5E2C83"/>
    <w:rsid w:val="2C9A6113"/>
    <w:rsid w:val="2CB847EB"/>
    <w:rsid w:val="2CCE400E"/>
    <w:rsid w:val="2CD00E19"/>
    <w:rsid w:val="2CDD4252"/>
    <w:rsid w:val="2D067C4C"/>
    <w:rsid w:val="2D12214D"/>
    <w:rsid w:val="2D3E1194"/>
    <w:rsid w:val="2D4349FC"/>
    <w:rsid w:val="2D4C5580"/>
    <w:rsid w:val="2D71156A"/>
    <w:rsid w:val="2D8D7A26"/>
    <w:rsid w:val="2D940DB4"/>
    <w:rsid w:val="2DA32DF9"/>
    <w:rsid w:val="2DB256DE"/>
    <w:rsid w:val="2DC23B73"/>
    <w:rsid w:val="2DDF4725"/>
    <w:rsid w:val="2DE735DA"/>
    <w:rsid w:val="2DE81100"/>
    <w:rsid w:val="2E057F04"/>
    <w:rsid w:val="2E276698"/>
    <w:rsid w:val="2E3A195C"/>
    <w:rsid w:val="2E4251AC"/>
    <w:rsid w:val="2E450300"/>
    <w:rsid w:val="2E4A0F63"/>
    <w:rsid w:val="2E4B1DBB"/>
    <w:rsid w:val="2E8157DC"/>
    <w:rsid w:val="2E976DAE"/>
    <w:rsid w:val="2E9E4C7F"/>
    <w:rsid w:val="2EB57234"/>
    <w:rsid w:val="2EC61441"/>
    <w:rsid w:val="2ECD6C74"/>
    <w:rsid w:val="2ED753FC"/>
    <w:rsid w:val="2EE8585B"/>
    <w:rsid w:val="2EF375E8"/>
    <w:rsid w:val="2EF91817"/>
    <w:rsid w:val="2F126434"/>
    <w:rsid w:val="2F1D0383"/>
    <w:rsid w:val="2F2B5748"/>
    <w:rsid w:val="2F3D6616"/>
    <w:rsid w:val="2F511653"/>
    <w:rsid w:val="2F5C1DA5"/>
    <w:rsid w:val="2F762E67"/>
    <w:rsid w:val="2F7D2448"/>
    <w:rsid w:val="2F9037FD"/>
    <w:rsid w:val="2FE83639"/>
    <w:rsid w:val="2FEB51AF"/>
    <w:rsid w:val="2FEF49C8"/>
    <w:rsid w:val="300541EB"/>
    <w:rsid w:val="300D4E4E"/>
    <w:rsid w:val="3019196B"/>
    <w:rsid w:val="302C5C1C"/>
    <w:rsid w:val="303D1461"/>
    <w:rsid w:val="30420F9B"/>
    <w:rsid w:val="306B04F2"/>
    <w:rsid w:val="30783E30"/>
    <w:rsid w:val="30840ACC"/>
    <w:rsid w:val="309B06AC"/>
    <w:rsid w:val="309C0833"/>
    <w:rsid w:val="30B73737"/>
    <w:rsid w:val="30D36097"/>
    <w:rsid w:val="30E738F1"/>
    <w:rsid w:val="310D3357"/>
    <w:rsid w:val="311B750B"/>
    <w:rsid w:val="311D7312"/>
    <w:rsid w:val="312505EC"/>
    <w:rsid w:val="31280191"/>
    <w:rsid w:val="312C7527"/>
    <w:rsid w:val="313308E4"/>
    <w:rsid w:val="3135465C"/>
    <w:rsid w:val="313E1763"/>
    <w:rsid w:val="31420161"/>
    <w:rsid w:val="314B0324"/>
    <w:rsid w:val="315216B2"/>
    <w:rsid w:val="31740B9D"/>
    <w:rsid w:val="317415B8"/>
    <w:rsid w:val="31861BE3"/>
    <w:rsid w:val="3195334D"/>
    <w:rsid w:val="319B66CB"/>
    <w:rsid w:val="31A43590"/>
    <w:rsid w:val="31A47752"/>
    <w:rsid w:val="31E0281A"/>
    <w:rsid w:val="31E87920"/>
    <w:rsid w:val="31EC5663"/>
    <w:rsid w:val="32292413"/>
    <w:rsid w:val="322A7F39"/>
    <w:rsid w:val="32301707"/>
    <w:rsid w:val="326E42CA"/>
    <w:rsid w:val="32807B59"/>
    <w:rsid w:val="32B06690"/>
    <w:rsid w:val="32BA306B"/>
    <w:rsid w:val="32E114B8"/>
    <w:rsid w:val="32EC51EE"/>
    <w:rsid w:val="331E73F1"/>
    <w:rsid w:val="335039CF"/>
    <w:rsid w:val="335334BF"/>
    <w:rsid w:val="335B187F"/>
    <w:rsid w:val="33784CD4"/>
    <w:rsid w:val="337A0512"/>
    <w:rsid w:val="33837901"/>
    <w:rsid w:val="338D4C23"/>
    <w:rsid w:val="33900270"/>
    <w:rsid w:val="33923FE8"/>
    <w:rsid w:val="33B1302F"/>
    <w:rsid w:val="33B9418C"/>
    <w:rsid w:val="33C63C91"/>
    <w:rsid w:val="33C70135"/>
    <w:rsid w:val="33F46A50"/>
    <w:rsid w:val="3402116D"/>
    <w:rsid w:val="34034EE6"/>
    <w:rsid w:val="34076D00"/>
    <w:rsid w:val="34190265"/>
    <w:rsid w:val="341B3FDD"/>
    <w:rsid w:val="342D3F72"/>
    <w:rsid w:val="34321327"/>
    <w:rsid w:val="34332B30"/>
    <w:rsid w:val="343C7095"/>
    <w:rsid w:val="345D63A4"/>
    <w:rsid w:val="3491604D"/>
    <w:rsid w:val="34A55F9D"/>
    <w:rsid w:val="34A71D15"/>
    <w:rsid w:val="34AF4725"/>
    <w:rsid w:val="34B32E02"/>
    <w:rsid w:val="34B72A69"/>
    <w:rsid w:val="34C42847"/>
    <w:rsid w:val="34CE54F3"/>
    <w:rsid w:val="34E02B31"/>
    <w:rsid w:val="34F52A80"/>
    <w:rsid w:val="350E1062"/>
    <w:rsid w:val="351333BE"/>
    <w:rsid w:val="35203E2A"/>
    <w:rsid w:val="35220786"/>
    <w:rsid w:val="353F5AA9"/>
    <w:rsid w:val="355A28E3"/>
    <w:rsid w:val="35812566"/>
    <w:rsid w:val="359758E5"/>
    <w:rsid w:val="359B0108"/>
    <w:rsid w:val="35DA1C76"/>
    <w:rsid w:val="35EB5C31"/>
    <w:rsid w:val="360D3DFA"/>
    <w:rsid w:val="360D5BA8"/>
    <w:rsid w:val="36160F00"/>
    <w:rsid w:val="361E1B63"/>
    <w:rsid w:val="3623361D"/>
    <w:rsid w:val="362D624A"/>
    <w:rsid w:val="36435A6D"/>
    <w:rsid w:val="365A0012"/>
    <w:rsid w:val="365D08DD"/>
    <w:rsid w:val="36767038"/>
    <w:rsid w:val="3684230E"/>
    <w:rsid w:val="36851BE2"/>
    <w:rsid w:val="36865C16"/>
    <w:rsid w:val="36873BAC"/>
    <w:rsid w:val="36A209E6"/>
    <w:rsid w:val="36A93E89"/>
    <w:rsid w:val="36AA1648"/>
    <w:rsid w:val="36AA5AEC"/>
    <w:rsid w:val="36AE1B85"/>
    <w:rsid w:val="36B424C7"/>
    <w:rsid w:val="36B83D65"/>
    <w:rsid w:val="36C34F9B"/>
    <w:rsid w:val="36C505FA"/>
    <w:rsid w:val="36EB0280"/>
    <w:rsid w:val="36F7729B"/>
    <w:rsid w:val="36FA437E"/>
    <w:rsid w:val="36FB00F6"/>
    <w:rsid w:val="36FD5C1C"/>
    <w:rsid w:val="37133692"/>
    <w:rsid w:val="371F2036"/>
    <w:rsid w:val="3720190B"/>
    <w:rsid w:val="37386C54"/>
    <w:rsid w:val="378400EB"/>
    <w:rsid w:val="378C0D4E"/>
    <w:rsid w:val="37955E55"/>
    <w:rsid w:val="37B95FE7"/>
    <w:rsid w:val="37CD3E53"/>
    <w:rsid w:val="37EF7C5B"/>
    <w:rsid w:val="37FC250E"/>
    <w:rsid w:val="380B6117"/>
    <w:rsid w:val="38174ABC"/>
    <w:rsid w:val="383513E6"/>
    <w:rsid w:val="38390ED6"/>
    <w:rsid w:val="38545D10"/>
    <w:rsid w:val="38561A88"/>
    <w:rsid w:val="38575800"/>
    <w:rsid w:val="385E6133"/>
    <w:rsid w:val="387610B1"/>
    <w:rsid w:val="389E51DD"/>
    <w:rsid w:val="38B50391"/>
    <w:rsid w:val="38E36885"/>
    <w:rsid w:val="3902576C"/>
    <w:rsid w:val="390B1DB1"/>
    <w:rsid w:val="392456E2"/>
    <w:rsid w:val="39461AFC"/>
    <w:rsid w:val="3949339B"/>
    <w:rsid w:val="394A0EC1"/>
    <w:rsid w:val="396C5F31"/>
    <w:rsid w:val="39777F08"/>
    <w:rsid w:val="39965EB4"/>
    <w:rsid w:val="399D7242"/>
    <w:rsid w:val="39B90520"/>
    <w:rsid w:val="39C62C3D"/>
    <w:rsid w:val="39D013C6"/>
    <w:rsid w:val="39D22A56"/>
    <w:rsid w:val="39D2544D"/>
    <w:rsid w:val="3A1917D6"/>
    <w:rsid w:val="3A345DF9"/>
    <w:rsid w:val="3A661D2A"/>
    <w:rsid w:val="3A6C3EF9"/>
    <w:rsid w:val="3A7E52C6"/>
    <w:rsid w:val="3ABB3E24"/>
    <w:rsid w:val="3AD35612"/>
    <w:rsid w:val="3AD44EE6"/>
    <w:rsid w:val="3AED5FA8"/>
    <w:rsid w:val="3AF15A98"/>
    <w:rsid w:val="3B194FEF"/>
    <w:rsid w:val="3B1D063B"/>
    <w:rsid w:val="3B304812"/>
    <w:rsid w:val="3B3F4A55"/>
    <w:rsid w:val="3B4C0F20"/>
    <w:rsid w:val="3B53405D"/>
    <w:rsid w:val="3B5F6EA5"/>
    <w:rsid w:val="3B64270E"/>
    <w:rsid w:val="3B781D15"/>
    <w:rsid w:val="3B7A5A8D"/>
    <w:rsid w:val="3B936B4F"/>
    <w:rsid w:val="3B950B19"/>
    <w:rsid w:val="3BAC5E63"/>
    <w:rsid w:val="3C017F5D"/>
    <w:rsid w:val="3C157564"/>
    <w:rsid w:val="3C291261"/>
    <w:rsid w:val="3C2B322B"/>
    <w:rsid w:val="3C2E5359"/>
    <w:rsid w:val="3C3E3F2B"/>
    <w:rsid w:val="3C5F4C83"/>
    <w:rsid w:val="3C687FDC"/>
    <w:rsid w:val="3C6D114E"/>
    <w:rsid w:val="3C7F70D3"/>
    <w:rsid w:val="3C9460C8"/>
    <w:rsid w:val="3C9963E7"/>
    <w:rsid w:val="3C9C1A33"/>
    <w:rsid w:val="3CC35212"/>
    <w:rsid w:val="3CC50F8A"/>
    <w:rsid w:val="3CCD006C"/>
    <w:rsid w:val="3CDD2778"/>
    <w:rsid w:val="3CE61B74"/>
    <w:rsid w:val="3D271C45"/>
    <w:rsid w:val="3D314871"/>
    <w:rsid w:val="3D3B307D"/>
    <w:rsid w:val="3D404AB5"/>
    <w:rsid w:val="3D6E19ED"/>
    <w:rsid w:val="3D7824A0"/>
    <w:rsid w:val="3D7A7FC6"/>
    <w:rsid w:val="3D962926"/>
    <w:rsid w:val="3DA2751D"/>
    <w:rsid w:val="3DBD4357"/>
    <w:rsid w:val="3DC6320C"/>
    <w:rsid w:val="3DD551FD"/>
    <w:rsid w:val="3DFA4C63"/>
    <w:rsid w:val="3E0755D2"/>
    <w:rsid w:val="3E1F46CA"/>
    <w:rsid w:val="3E202F15"/>
    <w:rsid w:val="3E300DF7"/>
    <w:rsid w:val="3E395F83"/>
    <w:rsid w:val="3E495BEB"/>
    <w:rsid w:val="3E646581"/>
    <w:rsid w:val="3E6D7B2B"/>
    <w:rsid w:val="3E781221"/>
    <w:rsid w:val="3E8135D7"/>
    <w:rsid w:val="3E952BDE"/>
    <w:rsid w:val="3E9D7A57"/>
    <w:rsid w:val="3E9E1A93"/>
    <w:rsid w:val="3EB43064"/>
    <w:rsid w:val="3EC534C3"/>
    <w:rsid w:val="3EC82FB3"/>
    <w:rsid w:val="3ECB4852"/>
    <w:rsid w:val="3EF618CF"/>
    <w:rsid w:val="3EF773F5"/>
    <w:rsid w:val="3F185CE9"/>
    <w:rsid w:val="3F19736B"/>
    <w:rsid w:val="3F255D10"/>
    <w:rsid w:val="3F281CA4"/>
    <w:rsid w:val="3F4B064E"/>
    <w:rsid w:val="3F4D34B9"/>
    <w:rsid w:val="3F744EE9"/>
    <w:rsid w:val="3F760C61"/>
    <w:rsid w:val="3F7942AE"/>
    <w:rsid w:val="3F7E18C4"/>
    <w:rsid w:val="3F830C89"/>
    <w:rsid w:val="3F874C1D"/>
    <w:rsid w:val="3F9B4224"/>
    <w:rsid w:val="3FB3156E"/>
    <w:rsid w:val="3FB84DD6"/>
    <w:rsid w:val="3FE07E89"/>
    <w:rsid w:val="3FEC4A80"/>
    <w:rsid w:val="3FF83425"/>
    <w:rsid w:val="40055426"/>
    <w:rsid w:val="400E2C48"/>
    <w:rsid w:val="401C5365"/>
    <w:rsid w:val="40550877"/>
    <w:rsid w:val="40672358"/>
    <w:rsid w:val="406B0058"/>
    <w:rsid w:val="4079618D"/>
    <w:rsid w:val="40866C82"/>
    <w:rsid w:val="40925627"/>
    <w:rsid w:val="40A75DF2"/>
    <w:rsid w:val="40AF1068"/>
    <w:rsid w:val="40B27A77"/>
    <w:rsid w:val="40B909B7"/>
    <w:rsid w:val="40C854ED"/>
    <w:rsid w:val="40D43E92"/>
    <w:rsid w:val="40F005A0"/>
    <w:rsid w:val="411E510D"/>
    <w:rsid w:val="413466DE"/>
    <w:rsid w:val="4138071D"/>
    <w:rsid w:val="413D1A37"/>
    <w:rsid w:val="414C3A28"/>
    <w:rsid w:val="41635215"/>
    <w:rsid w:val="417A7D21"/>
    <w:rsid w:val="418F7DB9"/>
    <w:rsid w:val="41A2189A"/>
    <w:rsid w:val="41B5021F"/>
    <w:rsid w:val="41C37A62"/>
    <w:rsid w:val="41D028AB"/>
    <w:rsid w:val="41DB2FFE"/>
    <w:rsid w:val="41F06AA9"/>
    <w:rsid w:val="42132798"/>
    <w:rsid w:val="42433017"/>
    <w:rsid w:val="426A1107"/>
    <w:rsid w:val="42D02437"/>
    <w:rsid w:val="42EB7271"/>
    <w:rsid w:val="43010842"/>
    <w:rsid w:val="431542ED"/>
    <w:rsid w:val="43291FA2"/>
    <w:rsid w:val="436C03B1"/>
    <w:rsid w:val="43880F63"/>
    <w:rsid w:val="43AC4C52"/>
    <w:rsid w:val="43B92ECB"/>
    <w:rsid w:val="43BA32AA"/>
    <w:rsid w:val="43D30430"/>
    <w:rsid w:val="43D85DD8"/>
    <w:rsid w:val="43EA7528"/>
    <w:rsid w:val="44196CA2"/>
    <w:rsid w:val="441D5B50"/>
    <w:rsid w:val="441E4BDC"/>
    <w:rsid w:val="4436451B"/>
    <w:rsid w:val="443A225E"/>
    <w:rsid w:val="443C4228"/>
    <w:rsid w:val="44476729"/>
    <w:rsid w:val="447D214A"/>
    <w:rsid w:val="447F2366"/>
    <w:rsid w:val="448D4A83"/>
    <w:rsid w:val="44CE6E4A"/>
    <w:rsid w:val="44DA134B"/>
    <w:rsid w:val="44EE4DF6"/>
    <w:rsid w:val="44F92119"/>
    <w:rsid w:val="45097E82"/>
    <w:rsid w:val="45132AAF"/>
    <w:rsid w:val="45240818"/>
    <w:rsid w:val="452B604A"/>
    <w:rsid w:val="452D591E"/>
    <w:rsid w:val="45356EC9"/>
    <w:rsid w:val="455E3D2A"/>
    <w:rsid w:val="45737BDF"/>
    <w:rsid w:val="45790B64"/>
    <w:rsid w:val="45A04342"/>
    <w:rsid w:val="45B63B66"/>
    <w:rsid w:val="45D4223E"/>
    <w:rsid w:val="45D61B06"/>
    <w:rsid w:val="45D95AA6"/>
    <w:rsid w:val="45EC7165"/>
    <w:rsid w:val="46116FEE"/>
    <w:rsid w:val="462A4554"/>
    <w:rsid w:val="462B5FAB"/>
    <w:rsid w:val="462F3918"/>
    <w:rsid w:val="46366A55"/>
    <w:rsid w:val="463D6035"/>
    <w:rsid w:val="464253F9"/>
    <w:rsid w:val="46466CE8"/>
    <w:rsid w:val="46565349"/>
    <w:rsid w:val="465869CB"/>
    <w:rsid w:val="46674E60"/>
    <w:rsid w:val="46717A8D"/>
    <w:rsid w:val="4674757D"/>
    <w:rsid w:val="46BE5EF9"/>
    <w:rsid w:val="46C6602A"/>
    <w:rsid w:val="46D22C21"/>
    <w:rsid w:val="46D70238"/>
    <w:rsid w:val="46DA3884"/>
    <w:rsid w:val="46E44703"/>
    <w:rsid w:val="46F06028"/>
    <w:rsid w:val="471C20EE"/>
    <w:rsid w:val="47246DE4"/>
    <w:rsid w:val="47354F5E"/>
    <w:rsid w:val="473849AD"/>
    <w:rsid w:val="47523D62"/>
    <w:rsid w:val="475F3D89"/>
    <w:rsid w:val="47653A95"/>
    <w:rsid w:val="47732BC6"/>
    <w:rsid w:val="478F0B12"/>
    <w:rsid w:val="4799057C"/>
    <w:rsid w:val="47D91D8D"/>
    <w:rsid w:val="47E30E5E"/>
    <w:rsid w:val="47E50732"/>
    <w:rsid w:val="47E726FC"/>
    <w:rsid w:val="47F22E4F"/>
    <w:rsid w:val="481D22A5"/>
    <w:rsid w:val="485633DE"/>
    <w:rsid w:val="48594C7C"/>
    <w:rsid w:val="48790E7B"/>
    <w:rsid w:val="48855A71"/>
    <w:rsid w:val="48943320"/>
    <w:rsid w:val="489F6B33"/>
    <w:rsid w:val="48A64365"/>
    <w:rsid w:val="48B25ECA"/>
    <w:rsid w:val="48D6181E"/>
    <w:rsid w:val="490966A2"/>
    <w:rsid w:val="490E1F0B"/>
    <w:rsid w:val="491868E5"/>
    <w:rsid w:val="493A5FFF"/>
    <w:rsid w:val="49492733"/>
    <w:rsid w:val="49636428"/>
    <w:rsid w:val="497004D0"/>
    <w:rsid w:val="49753D38"/>
    <w:rsid w:val="499046CE"/>
    <w:rsid w:val="49B93C25"/>
    <w:rsid w:val="49BD2527"/>
    <w:rsid w:val="49C64593"/>
    <w:rsid w:val="49CC7DFC"/>
    <w:rsid w:val="49D645FD"/>
    <w:rsid w:val="49EA2030"/>
    <w:rsid w:val="49F033BE"/>
    <w:rsid w:val="49F25388"/>
    <w:rsid w:val="4A001853"/>
    <w:rsid w:val="4A0B01F8"/>
    <w:rsid w:val="4A0B3AD6"/>
    <w:rsid w:val="4A317C5F"/>
    <w:rsid w:val="4A36644D"/>
    <w:rsid w:val="4A6242BC"/>
    <w:rsid w:val="4A677B24"/>
    <w:rsid w:val="4A9C50ED"/>
    <w:rsid w:val="4AA76173"/>
    <w:rsid w:val="4AA93C99"/>
    <w:rsid w:val="4AAF6DD6"/>
    <w:rsid w:val="4AB663B6"/>
    <w:rsid w:val="4ABA40F8"/>
    <w:rsid w:val="4ABA5C65"/>
    <w:rsid w:val="4AC17717"/>
    <w:rsid w:val="4AC63A3A"/>
    <w:rsid w:val="4ADB406F"/>
    <w:rsid w:val="4AE20F59"/>
    <w:rsid w:val="4B047121"/>
    <w:rsid w:val="4B1433EE"/>
    <w:rsid w:val="4B1A06F3"/>
    <w:rsid w:val="4B55797D"/>
    <w:rsid w:val="4B6978CC"/>
    <w:rsid w:val="4B78366B"/>
    <w:rsid w:val="4B8169C4"/>
    <w:rsid w:val="4B9346D8"/>
    <w:rsid w:val="4B9506C1"/>
    <w:rsid w:val="4BC82845"/>
    <w:rsid w:val="4BD905AE"/>
    <w:rsid w:val="4BDF1609"/>
    <w:rsid w:val="4BE11211"/>
    <w:rsid w:val="4BEC277D"/>
    <w:rsid w:val="4BED5E07"/>
    <w:rsid w:val="4BF929FE"/>
    <w:rsid w:val="4C0249A2"/>
    <w:rsid w:val="4C162849"/>
    <w:rsid w:val="4C2757BD"/>
    <w:rsid w:val="4C285091"/>
    <w:rsid w:val="4C56042C"/>
    <w:rsid w:val="4C561BFF"/>
    <w:rsid w:val="4C577725"/>
    <w:rsid w:val="4C5E4F57"/>
    <w:rsid w:val="4C7E73A7"/>
    <w:rsid w:val="4C982217"/>
    <w:rsid w:val="4C9D15DC"/>
    <w:rsid w:val="4CA24E44"/>
    <w:rsid w:val="4CD55219"/>
    <w:rsid w:val="4CFE7C8B"/>
    <w:rsid w:val="4D124A85"/>
    <w:rsid w:val="4D1473C4"/>
    <w:rsid w:val="4D1867F0"/>
    <w:rsid w:val="4D1D096E"/>
    <w:rsid w:val="4D331F40"/>
    <w:rsid w:val="4D456353"/>
    <w:rsid w:val="4D87403A"/>
    <w:rsid w:val="4D97427D"/>
    <w:rsid w:val="4DCA5F72"/>
    <w:rsid w:val="4E01203E"/>
    <w:rsid w:val="4E0336C0"/>
    <w:rsid w:val="4E113D5D"/>
    <w:rsid w:val="4E142AAF"/>
    <w:rsid w:val="4E41243B"/>
    <w:rsid w:val="4E467A51"/>
    <w:rsid w:val="4E487C6D"/>
    <w:rsid w:val="4E7D2F56"/>
    <w:rsid w:val="4E9764FE"/>
    <w:rsid w:val="4EA12ED9"/>
    <w:rsid w:val="4EA1673B"/>
    <w:rsid w:val="4EC07803"/>
    <w:rsid w:val="4EF120B3"/>
    <w:rsid w:val="4F195165"/>
    <w:rsid w:val="4F277882"/>
    <w:rsid w:val="4F29214E"/>
    <w:rsid w:val="4F2A2ECF"/>
    <w:rsid w:val="4F3A6FEA"/>
    <w:rsid w:val="4F3B50DC"/>
    <w:rsid w:val="4F6463E1"/>
    <w:rsid w:val="4F7734F5"/>
    <w:rsid w:val="4F942E88"/>
    <w:rsid w:val="4FDC68BF"/>
    <w:rsid w:val="4FDE2637"/>
    <w:rsid w:val="4FEE03A0"/>
    <w:rsid w:val="4FFC486B"/>
    <w:rsid w:val="50027558"/>
    <w:rsid w:val="500B4BE0"/>
    <w:rsid w:val="500D0826"/>
    <w:rsid w:val="5019541D"/>
    <w:rsid w:val="503A5393"/>
    <w:rsid w:val="503C110B"/>
    <w:rsid w:val="50463D38"/>
    <w:rsid w:val="50635C1F"/>
    <w:rsid w:val="50891C0A"/>
    <w:rsid w:val="509727E6"/>
    <w:rsid w:val="5099655E"/>
    <w:rsid w:val="50A147A4"/>
    <w:rsid w:val="50B909AE"/>
    <w:rsid w:val="50BF670F"/>
    <w:rsid w:val="50E7376D"/>
    <w:rsid w:val="50ED2406"/>
    <w:rsid w:val="50FE7B57"/>
    <w:rsid w:val="510D4856"/>
    <w:rsid w:val="51581F75"/>
    <w:rsid w:val="5164091A"/>
    <w:rsid w:val="519D207E"/>
    <w:rsid w:val="51B744F2"/>
    <w:rsid w:val="51B82A14"/>
    <w:rsid w:val="51B86EB8"/>
    <w:rsid w:val="51D04201"/>
    <w:rsid w:val="51D3784E"/>
    <w:rsid w:val="51FC6DA4"/>
    <w:rsid w:val="52171E30"/>
    <w:rsid w:val="521D342B"/>
    <w:rsid w:val="52293911"/>
    <w:rsid w:val="52302EF2"/>
    <w:rsid w:val="52306A4E"/>
    <w:rsid w:val="52385D04"/>
    <w:rsid w:val="5250485D"/>
    <w:rsid w:val="525F5585"/>
    <w:rsid w:val="52650DED"/>
    <w:rsid w:val="526F3A1A"/>
    <w:rsid w:val="52930888"/>
    <w:rsid w:val="529E1798"/>
    <w:rsid w:val="52E635B0"/>
    <w:rsid w:val="532F31A9"/>
    <w:rsid w:val="5382777D"/>
    <w:rsid w:val="539E3807"/>
    <w:rsid w:val="53A414A2"/>
    <w:rsid w:val="53A4216B"/>
    <w:rsid w:val="53A5346C"/>
    <w:rsid w:val="53A70F92"/>
    <w:rsid w:val="53AB6CD4"/>
    <w:rsid w:val="53C02053"/>
    <w:rsid w:val="53C25DCC"/>
    <w:rsid w:val="53C55FFF"/>
    <w:rsid w:val="53DA2138"/>
    <w:rsid w:val="53E126F6"/>
    <w:rsid w:val="53EB70D0"/>
    <w:rsid w:val="53F266B1"/>
    <w:rsid w:val="53F80F1C"/>
    <w:rsid w:val="54077C82"/>
    <w:rsid w:val="54095DDA"/>
    <w:rsid w:val="545509EE"/>
    <w:rsid w:val="54921C42"/>
    <w:rsid w:val="54996B2C"/>
    <w:rsid w:val="54A67E60"/>
    <w:rsid w:val="54B011B8"/>
    <w:rsid w:val="54B35714"/>
    <w:rsid w:val="54BE2A37"/>
    <w:rsid w:val="54C618EB"/>
    <w:rsid w:val="54D9517B"/>
    <w:rsid w:val="54EB1352"/>
    <w:rsid w:val="54F51C8A"/>
    <w:rsid w:val="550220A3"/>
    <w:rsid w:val="550A09CC"/>
    <w:rsid w:val="550D12C8"/>
    <w:rsid w:val="556152EB"/>
    <w:rsid w:val="556233C2"/>
    <w:rsid w:val="55654C60"/>
    <w:rsid w:val="5577646D"/>
    <w:rsid w:val="55794BB0"/>
    <w:rsid w:val="557D2DD5"/>
    <w:rsid w:val="55801A9A"/>
    <w:rsid w:val="5587107B"/>
    <w:rsid w:val="558A46C7"/>
    <w:rsid w:val="55911EF9"/>
    <w:rsid w:val="55943798"/>
    <w:rsid w:val="559E0FDD"/>
    <w:rsid w:val="55B61960"/>
    <w:rsid w:val="55BD2CEE"/>
    <w:rsid w:val="55CE6CAA"/>
    <w:rsid w:val="55DF2C65"/>
    <w:rsid w:val="55F66200"/>
    <w:rsid w:val="56456671"/>
    <w:rsid w:val="564D4873"/>
    <w:rsid w:val="566F4E48"/>
    <w:rsid w:val="567535C9"/>
    <w:rsid w:val="567C0AA8"/>
    <w:rsid w:val="56837A94"/>
    <w:rsid w:val="56876E58"/>
    <w:rsid w:val="569D4475"/>
    <w:rsid w:val="56B46EE6"/>
    <w:rsid w:val="56DB59CD"/>
    <w:rsid w:val="56DB78D0"/>
    <w:rsid w:val="56E9366F"/>
    <w:rsid w:val="56F444EE"/>
    <w:rsid w:val="57032983"/>
    <w:rsid w:val="570879E4"/>
    <w:rsid w:val="5709258B"/>
    <w:rsid w:val="5717642E"/>
    <w:rsid w:val="57236B81"/>
    <w:rsid w:val="573E39BB"/>
    <w:rsid w:val="57713D91"/>
    <w:rsid w:val="57715B3F"/>
    <w:rsid w:val="577949F3"/>
    <w:rsid w:val="57811AFA"/>
    <w:rsid w:val="578F2469"/>
    <w:rsid w:val="57947A7F"/>
    <w:rsid w:val="57A44166"/>
    <w:rsid w:val="57A53A3A"/>
    <w:rsid w:val="57B1418D"/>
    <w:rsid w:val="57C2283E"/>
    <w:rsid w:val="57CD4D3F"/>
    <w:rsid w:val="57CF451C"/>
    <w:rsid w:val="57D63BF4"/>
    <w:rsid w:val="57EC1669"/>
    <w:rsid w:val="57F14ED1"/>
    <w:rsid w:val="57FB7AFE"/>
    <w:rsid w:val="582708F3"/>
    <w:rsid w:val="582C7CB7"/>
    <w:rsid w:val="58353010"/>
    <w:rsid w:val="58454068"/>
    <w:rsid w:val="58501BF8"/>
    <w:rsid w:val="585039A6"/>
    <w:rsid w:val="585B5370"/>
    <w:rsid w:val="586456A3"/>
    <w:rsid w:val="5886386C"/>
    <w:rsid w:val="5895766E"/>
    <w:rsid w:val="58A81A34"/>
    <w:rsid w:val="58C52E9E"/>
    <w:rsid w:val="58F55C6B"/>
    <w:rsid w:val="58F83D94"/>
    <w:rsid w:val="59017396"/>
    <w:rsid w:val="59033D2C"/>
    <w:rsid w:val="590B2426"/>
    <w:rsid w:val="593B6F6F"/>
    <w:rsid w:val="59486D73"/>
    <w:rsid w:val="594C5BBB"/>
    <w:rsid w:val="59505C28"/>
    <w:rsid w:val="59613991"/>
    <w:rsid w:val="59822246"/>
    <w:rsid w:val="599B50F5"/>
    <w:rsid w:val="59A9388F"/>
    <w:rsid w:val="59C778E7"/>
    <w:rsid w:val="59C83A10"/>
    <w:rsid w:val="59E7658C"/>
    <w:rsid w:val="59EC24A4"/>
    <w:rsid w:val="59F667CF"/>
    <w:rsid w:val="59FB3DE5"/>
    <w:rsid w:val="5A025174"/>
    <w:rsid w:val="5A040EEC"/>
    <w:rsid w:val="5A3572F7"/>
    <w:rsid w:val="5A5D05FC"/>
    <w:rsid w:val="5A5D684E"/>
    <w:rsid w:val="5A820063"/>
    <w:rsid w:val="5A981634"/>
    <w:rsid w:val="5AA004E9"/>
    <w:rsid w:val="5AB20948"/>
    <w:rsid w:val="5AB66C71"/>
    <w:rsid w:val="5AB75F5E"/>
    <w:rsid w:val="5ABF4E13"/>
    <w:rsid w:val="5ADA39FB"/>
    <w:rsid w:val="5AF54CD9"/>
    <w:rsid w:val="5AF56A87"/>
    <w:rsid w:val="5AFA6BFD"/>
    <w:rsid w:val="5AFC7E15"/>
    <w:rsid w:val="5B0647F0"/>
    <w:rsid w:val="5B164869"/>
    <w:rsid w:val="5B2846A4"/>
    <w:rsid w:val="5B341533"/>
    <w:rsid w:val="5B6339F0"/>
    <w:rsid w:val="5B6C3328"/>
    <w:rsid w:val="5B714AE5"/>
    <w:rsid w:val="5B726329"/>
    <w:rsid w:val="5B823E03"/>
    <w:rsid w:val="5B914A01"/>
    <w:rsid w:val="5B94004E"/>
    <w:rsid w:val="5B9462A0"/>
    <w:rsid w:val="5BC052E6"/>
    <w:rsid w:val="5BD40B36"/>
    <w:rsid w:val="5C292E8C"/>
    <w:rsid w:val="5C5D0D87"/>
    <w:rsid w:val="5C642116"/>
    <w:rsid w:val="5C6B7A5C"/>
    <w:rsid w:val="5C8E0F41"/>
    <w:rsid w:val="5CA90AA6"/>
    <w:rsid w:val="5CEB6393"/>
    <w:rsid w:val="5CF36FF6"/>
    <w:rsid w:val="5D0D455B"/>
    <w:rsid w:val="5D1256CE"/>
    <w:rsid w:val="5D184CAE"/>
    <w:rsid w:val="5D1E0517"/>
    <w:rsid w:val="5D2673CB"/>
    <w:rsid w:val="5D3E2967"/>
    <w:rsid w:val="5D521F6E"/>
    <w:rsid w:val="5D6B1282"/>
    <w:rsid w:val="5D6F2B20"/>
    <w:rsid w:val="5D7D3C0A"/>
    <w:rsid w:val="5D891708"/>
    <w:rsid w:val="5DA327CA"/>
    <w:rsid w:val="5DE132F2"/>
    <w:rsid w:val="5DF474C9"/>
    <w:rsid w:val="5E023994"/>
    <w:rsid w:val="5E0A2849"/>
    <w:rsid w:val="5E0B4267"/>
    <w:rsid w:val="5E0F303A"/>
    <w:rsid w:val="5E106C49"/>
    <w:rsid w:val="5E115985"/>
    <w:rsid w:val="5E435D5B"/>
    <w:rsid w:val="5E6D21E6"/>
    <w:rsid w:val="5E767EDE"/>
    <w:rsid w:val="5EBB02B2"/>
    <w:rsid w:val="5EF07C91"/>
    <w:rsid w:val="5EF37781"/>
    <w:rsid w:val="5F21609C"/>
    <w:rsid w:val="5F36141C"/>
    <w:rsid w:val="5F3758C0"/>
    <w:rsid w:val="5F473629"/>
    <w:rsid w:val="5F4C0C3F"/>
    <w:rsid w:val="5F4C772C"/>
    <w:rsid w:val="5F70492E"/>
    <w:rsid w:val="5F795ED8"/>
    <w:rsid w:val="5F8403D9"/>
    <w:rsid w:val="5F887EC9"/>
    <w:rsid w:val="5F8E1258"/>
    <w:rsid w:val="5FAD5B82"/>
    <w:rsid w:val="5FB660FA"/>
    <w:rsid w:val="5FBE1B3D"/>
    <w:rsid w:val="5FE74F09"/>
    <w:rsid w:val="600904DE"/>
    <w:rsid w:val="600F4147"/>
    <w:rsid w:val="60336A3A"/>
    <w:rsid w:val="604364E6"/>
    <w:rsid w:val="604F4E8B"/>
    <w:rsid w:val="606C1599"/>
    <w:rsid w:val="607246D5"/>
    <w:rsid w:val="60793CB6"/>
    <w:rsid w:val="60830691"/>
    <w:rsid w:val="60872AA7"/>
    <w:rsid w:val="608947DC"/>
    <w:rsid w:val="60917218"/>
    <w:rsid w:val="60936B26"/>
    <w:rsid w:val="60B60A66"/>
    <w:rsid w:val="60C05441"/>
    <w:rsid w:val="60D158A0"/>
    <w:rsid w:val="60E816CC"/>
    <w:rsid w:val="61250763"/>
    <w:rsid w:val="61475B62"/>
    <w:rsid w:val="615362B5"/>
    <w:rsid w:val="6162474A"/>
    <w:rsid w:val="61720E31"/>
    <w:rsid w:val="618B5A4F"/>
    <w:rsid w:val="6191435B"/>
    <w:rsid w:val="619D39D4"/>
    <w:rsid w:val="61B74A96"/>
    <w:rsid w:val="61CB0541"/>
    <w:rsid w:val="61D83B52"/>
    <w:rsid w:val="61E23583"/>
    <w:rsid w:val="61EB473F"/>
    <w:rsid w:val="61F20BFA"/>
    <w:rsid w:val="61FC4B9F"/>
    <w:rsid w:val="62141232"/>
    <w:rsid w:val="621A5025"/>
    <w:rsid w:val="6220088D"/>
    <w:rsid w:val="62571DD5"/>
    <w:rsid w:val="625763D3"/>
    <w:rsid w:val="626A0CF4"/>
    <w:rsid w:val="62797F9D"/>
    <w:rsid w:val="6284492C"/>
    <w:rsid w:val="629152E7"/>
    <w:rsid w:val="62917095"/>
    <w:rsid w:val="629E17B2"/>
    <w:rsid w:val="62A014DD"/>
    <w:rsid w:val="62A50D92"/>
    <w:rsid w:val="62D60F4C"/>
    <w:rsid w:val="62D653F0"/>
    <w:rsid w:val="62D90A3C"/>
    <w:rsid w:val="62DF24F6"/>
    <w:rsid w:val="62F6339C"/>
    <w:rsid w:val="6333639E"/>
    <w:rsid w:val="63347599"/>
    <w:rsid w:val="634560D1"/>
    <w:rsid w:val="634B7B8C"/>
    <w:rsid w:val="63730E90"/>
    <w:rsid w:val="638210D3"/>
    <w:rsid w:val="63A96660"/>
    <w:rsid w:val="63BF40D6"/>
    <w:rsid w:val="63BF7C32"/>
    <w:rsid w:val="63CE60C7"/>
    <w:rsid w:val="63E57DAF"/>
    <w:rsid w:val="63ED29F1"/>
    <w:rsid w:val="63F57AF7"/>
    <w:rsid w:val="64061D04"/>
    <w:rsid w:val="64074337"/>
    <w:rsid w:val="640B2E77"/>
    <w:rsid w:val="642D103F"/>
    <w:rsid w:val="64446389"/>
    <w:rsid w:val="64487C27"/>
    <w:rsid w:val="644B7717"/>
    <w:rsid w:val="644F0FB6"/>
    <w:rsid w:val="645C7B76"/>
    <w:rsid w:val="64760C38"/>
    <w:rsid w:val="64801AB7"/>
    <w:rsid w:val="64864DA3"/>
    <w:rsid w:val="648B3FB8"/>
    <w:rsid w:val="64A62BA0"/>
    <w:rsid w:val="64B41760"/>
    <w:rsid w:val="64C940D8"/>
    <w:rsid w:val="64CC2606"/>
    <w:rsid w:val="64CD637E"/>
    <w:rsid w:val="64D22CE6"/>
    <w:rsid w:val="64E2007C"/>
    <w:rsid w:val="64F14763"/>
    <w:rsid w:val="64F658D5"/>
    <w:rsid w:val="651C09E9"/>
    <w:rsid w:val="651F307E"/>
    <w:rsid w:val="6522491C"/>
    <w:rsid w:val="652341F0"/>
    <w:rsid w:val="652A37D1"/>
    <w:rsid w:val="6546685C"/>
    <w:rsid w:val="654C3747"/>
    <w:rsid w:val="654C7BEB"/>
    <w:rsid w:val="6551179A"/>
    <w:rsid w:val="65554CF2"/>
    <w:rsid w:val="6562079B"/>
    <w:rsid w:val="65680839"/>
    <w:rsid w:val="656C3DE9"/>
    <w:rsid w:val="657469A2"/>
    <w:rsid w:val="659B647C"/>
    <w:rsid w:val="659F7D1B"/>
    <w:rsid w:val="65C6799D"/>
    <w:rsid w:val="65DA0D53"/>
    <w:rsid w:val="66056E07"/>
    <w:rsid w:val="662D17CA"/>
    <w:rsid w:val="663366B5"/>
    <w:rsid w:val="6660394E"/>
    <w:rsid w:val="667E5B82"/>
    <w:rsid w:val="66862C89"/>
    <w:rsid w:val="66BD2DAF"/>
    <w:rsid w:val="66CF63DE"/>
    <w:rsid w:val="670F5E99"/>
    <w:rsid w:val="67193AFD"/>
    <w:rsid w:val="672506F4"/>
    <w:rsid w:val="6744501E"/>
    <w:rsid w:val="674E7C4A"/>
    <w:rsid w:val="67654F94"/>
    <w:rsid w:val="676C00D0"/>
    <w:rsid w:val="677D0530"/>
    <w:rsid w:val="67803B7C"/>
    <w:rsid w:val="67B0620F"/>
    <w:rsid w:val="67B57CC9"/>
    <w:rsid w:val="67BB6DD6"/>
    <w:rsid w:val="67BF46A4"/>
    <w:rsid w:val="67F26828"/>
    <w:rsid w:val="67F51E74"/>
    <w:rsid w:val="67FC6C08"/>
    <w:rsid w:val="681560B9"/>
    <w:rsid w:val="68183DB4"/>
    <w:rsid w:val="681B7D03"/>
    <w:rsid w:val="68307350"/>
    <w:rsid w:val="683230C8"/>
    <w:rsid w:val="683230FB"/>
    <w:rsid w:val="6838232C"/>
    <w:rsid w:val="683A01CF"/>
    <w:rsid w:val="683C1AAF"/>
    <w:rsid w:val="684B5B89"/>
    <w:rsid w:val="6850354E"/>
    <w:rsid w:val="685963F7"/>
    <w:rsid w:val="688E2417"/>
    <w:rsid w:val="689C43F6"/>
    <w:rsid w:val="68BE670A"/>
    <w:rsid w:val="68C65B7A"/>
    <w:rsid w:val="68DE6DAC"/>
    <w:rsid w:val="68F8449E"/>
    <w:rsid w:val="690F6F65"/>
    <w:rsid w:val="694110E9"/>
    <w:rsid w:val="694A0FC7"/>
    <w:rsid w:val="69594684"/>
    <w:rsid w:val="695B664F"/>
    <w:rsid w:val="69601EB7"/>
    <w:rsid w:val="696C03D9"/>
    <w:rsid w:val="69763488"/>
    <w:rsid w:val="69782D5D"/>
    <w:rsid w:val="697C61BE"/>
    <w:rsid w:val="697D2A6B"/>
    <w:rsid w:val="69855479"/>
    <w:rsid w:val="69A55B1C"/>
    <w:rsid w:val="69BF098B"/>
    <w:rsid w:val="69D501AF"/>
    <w:rsid w:val="69EC374B"/>
    <w:rsid w:val="69F61ED3"/>
    <w:rsid w:val="6A0246B4"/>
    <w:rsid w:val="6A114F5F"/>
    <w:rsid w:val="6A1550DB"/>
    <w:rsid w:val="6A1A3E14"/>
    <w:rsid w:val="6A1F767C"/>
    <w:rsid w:val="6A2922A9"/>
    <w:rsid w:val="6A303637"/>
    <w:rsid w:val="6A4964A7"/>
    <w:rsid w:val="6A537326"/>
    <w:rsid w:val="6A5512F0"/>
    <w:rsid w:val="6A8A218E"/>
    <w:rsid w:val="6A942AC0"/>
    <w:rsid w:val="6A99742E"/>
    <w:rsid w:val="6A9A31A7"/>
    <w:rsid w:val="6AA638F9"/>
    <w:rsid w:val="6AAF6C52"/>
    <w:rsid w:val="6AB42DA9"/>
    <w:rsid w:val="6ACF10A2"/>
    <w:rsid w:val="6AE371E6"/>
    <w:rsid w:val="6B0F5943"/>
    <w:rsid w:val="6B250CC2"/>
    <w:rsid w:val="6B2C1649"/>
    <w:rsid w:val="6B2D401B"/>
    <w:rsid w:val="6B3709F5"/>
    <w:rsid w:val="6B543355"/>
    <w:rsid w:val="6B56194C"/>
    <w:rsid w:val="6B596BBE"/>
    <w:rsid w:val="6B6C069F"/>
    <w:rsid w:val="6B7678FF"/>
    <w:rsid w:val="6B795DEF"/>
    <w:rsid w:val="6B8A6D77"/>
    <w:rsid w:val="6B8F25DF"/>
    <w:rsid w:val="6B972E88"/>
    <w:rsid w:val="6BAE1FE0"/>
    <w:rsid w:val="6BB87D88"/>
    <w:rsid w:val="6BFB7C75"/>
    <w:rsid w:val="6C042FCD"/>
    <w:rsid w:val="6C136D6D"/>
    <w:rsid w:val="6C186A79"/>
    <w:rsid w:val="6C417D7E"/>
    <w:rsid w:val="6C4909E0"/>
    <w:rsid w:val="6C5E0930"/>
    <w:rsid w:val="6C6E0447"/>
    <w:rsid w:val="6C735A5D"/>
    <w:rsid w:val="6C841A18"/>
    <w:rsid w:val="6C9E6F7E"/>
    <w:rsid w:val="6CAB169B"/>
    <w:rsid w:val="6CB0280D"/>
    <w:rsid w:val="6CB71DEE"/>
    <w:rsid w:val="6CBF0CA2"/>
    <w:rsid w:val="6CC91B21"/>
    <w:rsid w:val="6CF47A31"/>
    <w:rsid w:val="6D266F73"/>
    <w:rsid w:val="6D2A392C"/>
    <w:rsid w:val="6D365409"/>
    <w:rsid w:val="6D374CDD"/>
    <w:rsid w:val="6D4C5D1C"/>
    <w:rsid w:val="6D716441"/>
    <w:rsid w:val="6D8B6DD7"/>
    <w:rsid w:val="6D8F4B19"/>
    <w:rsid w:val="6D965EA7"/>
    <w:rsid w:val="6D9B6C43"/>
    <w:rsid w:val="6D9C504D"/>
    <w:rsid w:val="6DB4632D"/>
    <w:rsid w:val="6DCE3EEB"/>
    <w:rsid w:val="6DCF5159"/>
    <w:rsid w:val="6DF350A8"/>
    <w:rsid w:val="6E0E0133"/>
    <w:rsid w:val="6E166FE8"/>
    <w:rsid w:val="6E250FD9"/>
    <w:rsid w:val="6E2A65EF"/>
    <w:rsid w:val="6E414065"/>
    <w:rsid w:val="6E512686"/>
    <w:rsid w:val="6E5518BE"/>
    <w:rsid w:val="6E6C09B6"/>
    <w:rsid w:val="6E784928"/>
    <w:rsid w:val="6E9A3775"/>
    <w:rsid w:val="6E9F2B3A"/>
    <w:rsid w:val="6EAE3FED"/>
    <w:rsid w:val="6ED30A35"/>
    <w:rsid w:val="6EDD18B4"/>
    <w:rsid w:val="6EDD3662"/>
    <w:rsid w:val="6EE64C0C"/>
    <w:rsid w:val="6F1F1ECC"/>
    <w:rsid w:val="6F267647"/>
    <w:rsid w:val="6F321856"/>
    <w:rsid w:val="6F347726"/>
    <w:rsid w:val="6F3F60CB"/>
    <w:rsid w:val="6F427072"/>
    <w:rsid w:val="6F6049BF"/>
    <w:rsid w:val="6F6A0B6A"/>
    <w:rsid w:val="6F6F194A"/>
    <w:rsid w:val="6F7B5355"/>
    <w:rsid w:val="6F854425"/>
    <w:rsid w:val="6F8D3F04"/>
    <w:rsid w:val="6F912DCA"/>
    <w:rsid w:val="6FB0674B"/>
    <w:rsid w:val="6FC14D32"/>
    <w:rsid w:val="6FC62348"/>
    <w:rsid w:val="6FD66A2F"/>
    <w:rsid w:val="6FDD0D2F"/>
    <w:rsid w:val="6FFD4164"/>
    <w:rsid w:val="7015387B"/>
    <w:rsid w:val="70161521"/>
    <w:rsid w:val="70295F8C"/>
    <w:rsid w:val="703025E3"/>
    <w:rsid w:val="704936A5"/>
    <w:rsid w:val="707D6EAA"/>
    <w:rsid w:val="70840239"/>
    <w:rsid w:val="709366CE"/>
    <w:rsid w:val="70A6411B"/>
    <w:rsid w:val="70AC219C"/>
    <w:rsid w:val="70BA1EAD"/>
    <w:rsid w:val="70D25448"/>
    <w:rsid w:val="70E62CA2"/>
    <w:rsid w:val="70EC07BF"/>
    <w:rsid w:val="70F52EE5"/>
    <w:rsid w:val="71066EA0"/>
    <w:rsid w:val="711A6DEF"/>
    <w:rsid w:val="711F4406"/>
    <w:rsid w:val="71475656"/>
    <w:rsid w:val="7148570A"/>
    <w:rsid w:val="714D0F73"/>
    <w:rsid w:val="715045BF"/>
    <w:rsid w:val="7164006A"/>
    <w:rsid w:val="71652E7D"/>
    <w:rsid w:val="71A566B9"/>
    <w:rsid w:val="71B66B18"/>
    <w:rsid w:val="71B74082"/>
    <w:rsid w:val="71C034F3"/>
    <w:rsid w:val="71D945B4"/>
    <w:rsid w:val="71F15DA2"/>
    <w:rsid w:val="72153AB8"/>
    <w:rsid w:val="72166DC6"/>
    <w:rsid w:val="721B2E1F"/>
    <w:rsid w:val="721D4D44"/>
    <w:rsid w:val="722A3062"/>
    <w:rsid w:val="72364096"/>
    <w:rsid w:val="72442376"/>
    <w:rsid w:val="726A7902"/>
    <w:rsid w:val="72745BE9"/>
    <w:rsid w:val="728A5A6D"/>
    <w:rsid w:val="72907369"/>
    <w:rsid w:val="72B868C0"/>
    <w:rsid w:val="72C07522"/>
    <w:rsid w:val="72C77465"/>
    <w:rsid w:val="72CC236B"/>
    <w:rsid w:val="72D03C09"/>
    <w:rsid w:val="72D27981"/>
    <w:rsid w:val="72D57472"/>
    <w:rsid w:val="72E50D43"/>
    <w:rsid w:val="72FC49FE"/>
    <w:rsid w:val="73075151"/>
    <w:rsid w:val="730D5640"/>
    <w:rsid w:val="730E028E"/>
    <w:rsid w:val="731F249B"/>
    <w:rsid w:val="73261A7B"/>
    <w:rsid w:val="73375A36"/>
    <w:rsid w:val="734A7C80"/>
    <w:rsid w:val="737F2F3A"/>
    <w:rsid w:val="739E6731"/>
    <w:rsid w:val="73A86934"/>
    <w:rsid w:val="73E62FB9"/>
    <w:rsid w:val="73EA4857"/>
    <w:rsid w:val="7400051E"/>
    <w:rsid w:val="741B5358"/>
    <w:rsid w:val="742546D9"/>
    <w:rsid w:val="742F2BB2"/>
    <w:rsid w:val="743401C8"/>
    <w:rsid w:val="74471CA9"/>
    <w:rsid w:val="7460720F"/>
    <w:rsid w:val="746C5BB4"/>
    <w:rsid w:val="7479207F"/>
    <w:rsid w:val="747B7BA5"/>
    <w:rsid w:val="7481774B"/>
    <w:rsid w:val="748922C2"/>
    <w:rsid w:val="74963504"/>
    <w:rsid w:val="74B35591"/>
    <w:rsid w:val="74B55E53"/>
    <w:rsid w:val="74B90757"/>
    <w:rsid w:val="74C90E2B"/>
    <w:rsid w:val="74CA6436"/>
    <w:rsid w:val="751D2A0A"/>
    <w:rsid w:val="752124FA"/>
    <w:rsid w:val="752A27AE"/>
    <w:rsid w:val="752E4C17"/>
    <w:rsid w:val="7577036C"/>
    <w:rsid w:val="757D506E"/>
    <w:rsid w:val="758D193E"/>
    <w:rsid w:val="758D4034"/>
    <w:rsid w:val="75A629FF"/>
    <w:rsid w:val="75A924F0"/>
    <w:rsid w:val="75AF3FAA"/>
    <w:rsid w:val="75B94E29"/>
    <w:rsid w:val="75BB6558"/>
    <w:rsid w:val="75BC2223"/>
    <w:rsid w:val="75D57144"/>
    <w:rsid w:val="75E44E88"/>
    <w:rsid w:val="75F419BD"/>
    <w:rsid w:val="7621652A"/>
    <w:rsid w:val="765D3A06"/>
    <w:rsid w:val="768A40CF"/>
    <w:rsid w:val="769224FF"/>
    <w:rsid w:val="76AC04E9"/>
    <w:rsid w:val="76B949B4"/>
    <w:rsid w:val="76D57A40"/>
    <w:rsid w:val="76D87530"/>
    <w:rsid w:val="76DB2B7D"/>
    <w:rsid w:val="76F61765"/>
    <w:rsid w:val="771B11CB"/>
    <w:rsid w:val="771F6F0D"/>
    <w:rsid w:val="77277B70"/>
    <w:rsid w:val="77364257"/>
    <w:rsid w:val="77413822"/>
    <w:rsid w:val="7768203E"/>
    <w:rsid w:val="778356EE"/>
    <w:rsid w:val="7798281C"/>
    <w:rsid w:val="779A2A38"/>
    <w:rsid w:val="779E42D6"/>
    <w:rsid w:val="77A15B74"/>
    <w:rsid w:val="77A92C7B"/>
    <w:rsid w:val="77AF64E3"/>
    <w:rsid w:val="77B04009"/>
    <w:rsid w:val="77C3377A"/>
    <w:rsid w:val="77C67389"/>
    <w:rsid w:val="77CA303F"/>
    <w:rsid w:val="77D575CC"/>
    <w:rsid w:val="77E93077"/>
    <w:rsid w:val="77EF4B32"/>
    <w:rsid w:val="77FF289B"/>
    <w:rsid w:val="781A5362"/>
    <w:rsid w:val="784A1D68"/>
    <w:rsid w:val="78A36BF5"/>
    <w:rsid w:val="78A70D26"/>
    <w:rsid w:val="78B11DE7"/>
    <w:rsid w:val="78DD2BDC"/>
    <w:rsid w:val="78FF429B"/>
    <w:rsid w:val="790068CB"/>
    <w:rsid w:val="79112886"/>
    <w:rsid w:val="791660EE"/>
    <w:rsid w:val="794C5FB4"/>
    <w:rsid w:val="79702921"/>
    <w:rsid w:val="79766B8D"/>
    <w:rsid w:val="798412AA"/>
    <w:rsid w:val="798F414F"/>
    <w:rsid w:val="79A60F46"/>
    <w:rsid w:val="79AE389B"/>
    <w:rsid w:val="79BC5754"/>
    <w:rsid w:val="79CB0C87"/>
    <w:rsid w:val="79E87A8A"/>
    <w:rsid w:val="79F73EC1"/>
    <w:rsid w:val="7A122D59"/>
    <w:rsid w:val="7A340F22"/>
    <w:rsid w:val="7A513F98"/>
    <w:rsid w:val="7A5E1AFB"/>
    <w:rsid w:val="7A680C3A"/>
    <w:rsid w:val="7A7E219D"/>
    <w:rsid w:val="7A8A6D94"/>
    <w:rsid w:val="7A9121A0"/>
    <w:rsid w:val="7A965738"/>
    <w:rsid w:val="7A9971BC"/>
    <w:rsid w:val="7AB23BF5"/>
    <w:rsid w:val="7ABE4C8F"/>
    <w:rsid w:val="7AC53928"/>
    <w:rsid w:val="7AD16771"/>
    <w:rsid w:val="7AF91823"/>
    <w:rsid w:val="7AF97A75"/>
    <w:rsid w:val="7B0F1A1F"/>
    <w:rsid w:val="7B113011"/>
    <w:rsid w:val="7B1B5C3E"/>
    <w:rsid w:val="7B3867F0"/>
    <w:rsid w:val="7B42766E"/>
    <w:rsid w:val="7B525906"/>
    <w:rsid w:val="7B58479C"/>
    <w:rsid w:val="7B5D1DB2"/>
    <w:rsid w:val="7B656EB9"/>
    <w:rsid w:val="7B8319E1"/>
    <w:rsid w:val="7B8A4C7B"/>
    <w:rsid w:val="7B9559F0"/>
    <w:rsid w:val="7BA25DD3"/>
    <w:rsid w:val="7BC75BA5"/>
    <w:rsid w:val="7C3E7E36"/>
    <w:rsid w:val="7C5C4760"/>
    <w:rsid w:val="7C624616"/>
    <w:rsid w:val="7C7445AF"/>
    <w:rsid w:val="7C745605"/>
    <w:rsid w:val="7C7A6994"/>
    <w:rsid w:val="7C7B2E38"/>
    <w:rsid w:val="7C9712F4"/>
    <w:rsid w:val="7C9D0240"/>
    <w:rsid w:val="7CB87C7E"/>
    <w:rsid w:val="7CCB67AB"/>
    <w:rsid w:val="7CCD740C"/>
    <w:rsid w:val="7CCF6CE0"/>
    <w:rsid w:val="7CD45F51"/>
    <w:rsid w:val="7CDE01B6"/>
    <w:rsid w:val="7CEB2A4A"/>
    <w:rsid w:val="7CFE4D0B"/>
    <w:rsid w:val="7D0E5A5A"/>
    <w:rsid w:val="7D4F6073"/>
    <w:rsid w:val="7D641B09"/>
    <w:rsid w:val="7D733B0F"/>
    <w:rsid w:val="7D7B29C4"/>
    <w:rsid w:val="7D910387"/>
    <w:rsid w:val="7DB83C18"/>
    <w:rsid w:val="7DC51E91"/>
    <w:rsid w:val="7DC91981"/>
    <w:rsid w:val="7DF664EA"/>
    <w:rsid w:val="7E1D0140"/>
    <w:rsid w:val="7E284F47"/>
    <w:rsid w:val="7E747B3F"/>
    <w:rsid w:val="7E9957F7"/>
    <w:rsid w:val="7E9E2E0E"/>
    <w:rsid w:val="7EE051D4"/>
    <w:rsid w:val="7F00119D"/>
    <w:rsid w:val="7F17671C"/>
    <w:rsid w:val="7F1B26B0"/>
    <w:rsid w:val="7F1B620C"/>
    <w:rsid w:val="7F8154AC"/>
    <w:rsid w:val="7F8813C8"/>
    <w:rsid w:val="7F967F89"/>
    <w:rsid w:val="7F9E1BDA"/>
    <w:rsid w:val="7FB328E9"/>
    <w:rsid w:val="7FD60385"/>
    <w:rsid w:val="7FDD34C2"/>
    <w:rsid w:val="7FF058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5"/>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a heading"/>
    <w:basedOn w:val="1"/>
    <w:next w:val="1"/>
    <w:unhideWhenUsed/>
    <w:qFormat/>
    <w:uiPriority w:val="99"/>
    <w:pPr>
      <w:spacing w:before="120"/>
    </w:pPr>
    <w:rPr>
      <w:rFonts w:ascii="Cambria" w:hAnsi="Cambria" w:eastAsia="宋体" w:cs="Times New Roman"/>
      <w:sz w:val="24"/>
      <w:szCs w:val="24"/>
    </w:rPr>
  </w:style>
  <w:style w:type="paragraph" w:styleId="14">
    <w:name w:val="Body Text"/>
    <w:basedOn w:val="1"/>
    <w:semiHidden/>
    <w:qFormat/>
    <w:uiPriority w:val="0"/>
    <w:rPr>
      <w:rFonts w:ascii="Arial" w:hAnsi="Arial" w:eastAsia="Arial" w:cs="Arial"/>
      <w:sz w:val="21"/>
      <w:szCs w:val="21"/>
      <w:lang w:val="en-US" w:eastAsia="en-US"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文本1"/>
    <w:next w:val="1"/>
    <w:qFormat/>
    <w:uiPriority w:val="0"/>
    <w:pPr>
      <w:widowControl w:val="0"/>
      <w:jc w:val="both"/>
    </w:pPr>
    <w:rPr>
      <w:rFonts w:hint="default" w:ascii="Times New Roman" w:hAnsi="Times New Roman" w:eastAsia="楷体_GB2312" w:cs="Times New Roman"/>
      <w:b/>
      <w:bCs/>
      <w:color w:val="FF0000"/>
      <w:sz w:val="32"/>
      <w:szCs w:val="32"/>
      <w:lang w:val="zh-CN" w:eastAsia="zh-CN" w:bidi="ar-SA"/>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0"/>
    <w:qFormat/>
    <w:uiPriority w:val="9"/>
    <w:pPr>
      <w:keepNext/>
      <w:keepLines/>
      <w:spacing w:before="340" w:after="330" w:line="578" w:lineRule="auto"/>
      <w:outlineLvl w:val="0"/>
    </w:pPr>
    <w:rPr>
      <w:b/>
      <w:bCs/>
      <w:sz w:val="44"/>
      <w:szCs w:val="44"/>
    </w:rPr>
  </w:style>
  <w:style w:type="paragraph" w:customStyle="1" w:styleId="186">
    <w:name w:val="标题 21"/>
    <w:basedOn w:val="1"/>
    <w:next w:val="1"/>
    <w:link w:val="19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7">
    <w:name w:val="标题 311"/>
    <w:basedOn w:val="1"/>
    <w:next w:val="1"/>
    <w:link w:val="192"/>
    <w:qFormat/>
    <w:uiPriority w:val="9"/>
    <w:pPr>
      <w:keepNext/>
      <w:keepLines/>
      <w:spacing w:before="260" w:after="260" w:line="416" w:lineRule="auto"/>
      <w:outlineLvl w:val="2"/>
    </w:pPr>
    <w:rPr>
      <w:b/>
      <w:bCs/>
      <w:sz w:val="32"/>
      <w:szCs w:val="32"/>
    </w:rPr>
  </w:style>
  <w:style w:type="character" w:customStyle="1" w:styleId="188">
    <w:name w:val="默认段落字体1"/>
    <w:link w:val="1"/>
    <w:unhideWhenUsed/>
    <w:qFormat/>
    <w:uiPriority w:val="1"/>
  </w:style>
  <w:style w:type="table" w:customStyle="1" w:styleId="189">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0">
    <w:name w:val="标题 1 Char"/>
    <w:basedOn w:val="188"/>
    <w:link w:val="185"/>
    <w:qFormat/>
    <w:uiPriority w:val="9"/>
    <w:rPr>
      <w:b/>
      <w:bCs/>
      <w:sz w:val="44"/>
      <w:szCs w:val="44"/>
    </w:rPr>
  </w:style>
  <w:style w:type="character" w:customStyle="1" w:styleId="191">
    <w:name w:val="标题 2 Char"/>
    <w:basedOn w:val="188"/>
    <w:link w:val="186"/>
    <w:qFormat/>
    <w:uiPriority w:val="9"/>
    <w:rPr>
      <w:rFonts w:ascii="Cambria" w:hAnsi="Cambria" w:eastAsia="宋体" w:cs="Times New Roman"/>
      <w:b/>
      <w:bCs/>
      <w:sz w:val="32"/>
      <w:szCs w:val="32"/>
    </w:rPr>
  </w:style>
  <w:style w:type="character" w:customStyle="1" w:styleId="192">
    <w:name w:val="标题 3 Char"/>
    <w:basedOn w:val="188"/>
    <w:link w:val="187"/>
    <w:qFormat/>
    <w:uiPriority w:val="9"/>
    <w:rPr>
      <w:b/>
      <w:bCs/>
      <w:sz w:val="32"/>
      <w:szCs w:val="32"/>
    </w:rPr>
  </w:style>
  <w:style w:type="paragraph" w:customStyle="1" w:styleId="193">
    <w:name w:val="正文缩进1"/>
    <w:basedOn w:val="1"/>
    <w:next w:val="194"/>
    <w:qFormat/>
    <w:uiPriority w:val="0"/>
    <w:pPr>
      <w:ind w:firstLine="420"/>
    </w:pPr>
    <w:rPr>
      <w:szCs w:val="20"/>
    </w:rPr>
  </w:style>
  <w:style w:type="paragraph" w:customStyle="1" w:styleId="194">
    <w:name w:val="正文文本缩进1"/>
    <w:basedOn w:val="1"/>
    <w:next w:val="193"/>
    <w:qFormat/>
    <w:uiPriority w:val="0"/>
    <w:pPr>
      <w:ind w:firstLine="600"/>
    </w:pPr>
    <w:rPr>
      <w:rFonts w:eastAsia="仿宋_GB2312"/>
      <w:sz w:val="30"/>
      <w:szCs w:val="30"/>
    </w:rPr>
  </w:style>
  <w:style w:type="paragraph" w:customStyle="1" w:styleId="195">
    <w:name w:val="文档结构图1"/>
    <w:basedOn w:val="1"/>
    <w:link w:val="196"/>
    <w:unhideWhenUsed/>
    <w:qFormat/>
    <w:uiPriority w:val="99"/>
    <w:rPr>
      <w:rFonts w:ascii="宋体" w:eastAsia="宋体"/>
      <w:sz w:val="18"/>
      <w:szCs w:val="18"/>
    </w:rPr>
  </w:style>
  <w:style w:type="character" w:customStyle="1" w:styleId="196">
    <w:name w:val="文档结构图 Char"/>
    <w:basedOn w:val="188"/>
    <w:link w:val="195"/>
    <w:semiHidden/>
    <w:qFormat/>
    <w:uiPriority w:val="99"/>
    <w:rPr>
      <w:rFonts w:ascii="宋体" w:eastAsia="宋体"/>
      <w:sz w:val="18"/>
      <w:szCs w:val="18"/>
    </w:rPr>
  </w:style>
  <w:style w:type="paragraph" w:customStyle="1" w:styleId="197">
    <w:name w:val="批注文字11"/>
    <w:basedOn w:val="1"/>
    <w:link w:val="198"/>
    <w:qFormat/>
    <w:uiPriority w:val="0"/>
    <w:pPr>
      <w:spacing w:line="360" w:lineRule="auto"/>
      <w:ind w:firstLine="922"/>
      <w:jc w:val="left"/>
    </w:pPr>
    <w:rPr>
      <w:rFonts w:ascii="Times New Roman" w:hAnsi="Times New Roman" w:eastAsia="宋体" w:cs="Times New Roman"/>
      <w:szCs w:val="24"/>
    </w:rPr>
  </w:style>
  <w:style w:type="character" w:customStyle="1" w:styleId="198">
    <w:name w:val="批注文字 Char"/>
    <w:basedOn w:val="188"/>
    <w:link w:val="197"/>
    <w:qFormat/>
    <w:uiPriority w:val="0"/>
    <w:rPr>
      <w:rFonts w:ascii="Times New Roman" w:hAnsi="Times New Roman" w:eastAsia="宋体" w:cs="Times New Roman"/>
      <w:szCs w:val="24"/>
    </w:rPr>
  </w:style>
  <w:style w:type="paragraph" w:customStyle="1" w:styleId="199">
    <w:name w:val="纯文本1"/>
    <w:basedOn w:val="1"/>
    <w:link w:val="200"/>
    <w:qFormat/>
    <w:uiPriority w:val="0"/>
    <w:rPr>
      <w:rFonts w:ascii="宋体" w:hAnsi="Courier New" w:eastAsia="宋体" w:cs="Times New Roman"/>
      <w:szCs w:val="20"/>
    </w:rPr>
  </w:style>
  <w:style w:type="character" w:customStyle="1" w:styleId="200">
    <w:name w:val="纯文本 Char"/>
    <w:basedOn w:val="188"/>
    <w:link w:val="199"/>
    <w:qFormat/>
    <w:uiPriority w:val="0"/>
    <w:rPr>
      <w:rFonts w:ascii="宋体" w:hAnsi="Courier New" w:eastAsia="宋体" w:cs="Times New Roman"/>
      <w:szCs w:val="20"/>
    </w:rPr>
  </w:style>
  <w:style w:type="paragraph" w:customStyle="1" w:styleId="201">
    <w:name w:val="日期1"/>
    <w:basedOn w:val="1"/>
    <w:next w:val="1"/>
    <w:link w:val="202"/>
    <w:unhideWhenUsed/>
    <w:qFormat/>
    <w:uiPriority w:val="99"/>
    <w:pPr>
      <w:ind w:left="100"/>
    </w:pPr>
  </w:style>
  <w:style w:type="character" w:customStyle="1" w:styleId="202">
    <w:name w:val="日期 Char"/>
    <w:basedOn w:val="188"/>
    <w:link w:val="201"/>
    <w:semiHidden/>
    <w:qFormat/>
    <w:uiPriority w:val="99"/>
  </w:style>
  <w:style w:type="paragraph" w:customStyle="1" w:styleId="203">
    <w:name w:val="批注框文本1"/>
    <w:basedOn w:val="1"/>
    <w:link w:val="204"/>
    <w:unhideWhenUsed/>
    <w:qFormat/>
    <w:uiPriority w:val="99"/>
    <w:rPr>
      <w:sz w:val="18"/>
      <w:szCs w:val="18"/>
    </w:rPr>
  </w:style>
  <w:style w:type="character" w:customStyle="1" w:styleId="204">
    <w:name w:val="批注框文本 Char"/>
    <w:basedOn w:val="188"/>
    <w:link w:val="203"/>
    <w:semiHidden/>
    <w:qFormat/>
    <w:uiPriority w:val="99"/>
    <w:rPr>
      <w:sz w:val="18"/>
      <w:szCs w:val="18"/>
    </w:rPr>
  </w:style>
  <w:style w:type="paragraph" w:customStyle="1" w:styleId="205">
    <w:name w:val="页脚1"/>
    <w:basedOn w:val="1"/>
    <w:link w:val="206"/>
    <w:unhideWhenUsed/>
    <w:qFormat/>
    <w:uiPriority w:val="99"/>
    <w:pPr>
      <w:tabs>
        <w:tab w:val="center" w:pos="4153"/>
        <w:tab w:val="right" w:pos="8306"/>
      </w:tabs>
      <w:jc w:val="left"/>
    </w:pPr>
    <w:rPr>
      <w:sz w:val="18"/>
      <w:szCs w:val="18"/>
    </w:rPr>
  </w:style>
  <w:style w:type="character" w:customStyle="1" w:styleId="206">
    <w:name w:val="页脚 Char"/>
    <w:basedOn w:val="188"/>
    <w:link w:val="205"/>
    <w:qFormat/>
    <w:uiPriority w:val="99"/>
    <w:rPr>
      <w:sz w:val="18"/>
      <w:szCs w:val="18"/>
    </w:rPr>
  </w:style>
  <w:style w:type="paragraph" w:customStyle="1" w:styleId="207">
    <w:name w:val="页眉1"/>
    <w:basedOn w:val="1"/>
    <w:link w:val="208"/>
    <w:unhideWhenUsed/>
    <w:qFormat/>
    <w:uiPriority w:val="99"/>
    <w:pPr>
      <w:pBdr>
        <w:bottom w:val="single" w:color="000000" w:sz="6" w:space="1"/>
      </w:pBdr>
      <w:tabs>
        <w:tab w:val="center" w:pos="4153"/>
        <w:tab w:val="right" w:pos="8306"/>
      </w:tabs>
      <w:jc w:val="center"/>
    </w:pPr>
    <w:rPr>
      <w:sz w:val="18"/>
      <w:szCs w:val="18"/>
    </w:rPr>
  </w:style>
  <w:style w:type="character" w:customStyle="1" w:styleId="208">
    <w:name w:val="页眉 Char"/>
    <w:basedOn w:val="188"/>
    <w:link w:val="207"/>
    <w:semiHidden/>
    <w:qFormat/>
    <w:uiPriority w:val="99"/>
    <w:rPr>
      <w:sz w:val="18"/>
      <w:szCs w:val="18"/>
    </w:rPr>
  </w:style>
  <w:style w:type="paragraph" w:customStyle="1" w:styleId="209">
    <w:name w:val="目录 11"/>
    <w:basedOn w:val="1"/>
    <w:next w:val="1"/>
    <w:unhideWhenUsed/>
    <w:qFormat/>
    <w:uiPriority w:val="39"/>
  </w:style>
  <w:style w:type="paragraph" w:customStyle="1" w:styleId="210">
    <w:name w:val="标题1"/>
    <w:basedOn w:val="1"/>
    <w:next w:val="1"/>
    <w:qFormat/>
    <w:uiPriority w:val="10"/>
    <w:pPr>
      <w:spacing w:before="300" w:after="200"/>
      <w:contextualSpacing/>
    </w:pPr>
    <w:rPr>
      <w:sz w:val="48"/>
      <w:szCs w:val="48"/>
    </w:rPr>
  </w:style>
  <w:style w:type="paragraph" w:customStyle="1" w:styleId="211">
    <w:name w:val="正文首行缩进 21"/>
    <w:basedOn w:val="194"/>
    <w:next w:val="1"/>
    <w:qFormat/>
    <w:uiPriority w:val="0"/>
    <w:pPr>
      <w:tabs>
        <w:tab w:val="left" w:pos="525"/>
        <w:tab w:val="left" w:pos="4320"/>
      </w:tabs>
      <w:ind w:firstLine="200"/>
    </w:pPr>
    <w:rPr>
      <w:rFonts w:ascii="Calibri" w:hAnsi="Calibri" w:eastAsia="宋体" w:cs="宋体"/>
    </w:rPr>
  </w:style>
  <w:style w:type="table" w:customStyle="1" w:styleId="212">
    <w:name w:val="网格型1"/>
    <w:basedOn w:val="189"/>
    <w:qFormat/>
    <w:uiPriority w:val="59"/>
  </w:style>
  <w:style w:type="character" w:customStyle="1" w:styleId="213">
    <w:name w:val="要点1"/>
    <w:basedOn w:val="188"/>
    <w:link w:val="1"/>
    <w:qFormat/>
    <w:uiPriority w:val="22"/>
    <w:rPr>
      <w:b/>
    </w:rPr>
  </w:style>
  <w:style w:type="character" w:customStyle="1" w:styleId="214">
    <w:name w:val="页码1"/>
    <w:link w:val="1"/>
    <w:qFormat/>
    <w:uiPriority w:val="0"/>
  </w:style>
  <w:style w:type="character" w:customStyle="1" w:styleId="215">
    <w:name w:val="超链接1"/>
    <w:link w:val="1"/>
    <w:qFormat/>
    <w:uiPriority w:val="99"/>
    <w:rPr>
      <w:color w:val="0000FF"/>
      <w:u w:val="none"/>
    </w:rPr>
  </w:style>
  <w:style w:type="character" w:customStyle="1" w:styleId="216">
    <w:name w:val="批注引用1"/>
    <w:link w:val="1"/>
    <w:qFormat/>
    <w:uiPriority w:val="0"/>
    <w:rPr>
      <w:sz w:val="21"/>
      <w:szCs w:val="21"/>
    </w:rPr>
  </w:style>
  <w:style w:type="paragraph" w:styleId="217">
    <w:name w:val="List Paragraph"/>
    <w:next w:val="1"/>
    <w:qFormat/>
    <w:uiPriority w:val="99"/>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218">
    <w:name w:val="Default"/>
    <w:link w:val="219"/>
    <w:qFormat/>
    <w:uiPriority w:val="99"/>
    <w:pPr>
      <w:widowControl w:val="0"/>
    </w:pPr>
    <w:rPr>
      <w:rFonts w:hint="default" w:ascii="MS Mincho" w:hAnsi="Calibri" w:eastAsia="宋体" w:cs="Times New Roman"/>
      <w:color w:val="000000"/>
      <w:szCs w:val="24"/>
      <w:lang w:bidi="ar-SA"/>
    </w:rPr>
  </w:style>
  <w:style w:type="character" w:customStyle="1" w:styleId="219">
    <w:name w:val="Default Char"/>
    <w:link w:val="218"/>
    <w:qFormat/>
    <w:uiPriority w:val="99"/>
    <w:rPr>
      <w:rFonts w:ascii="MS Mincho" w:hAnsi="Calibri"/>
      <w:color w:val="000000"/>
      <w:szCs w:val="24"/>
      <w:lang w:bidi="ar-SA"/>
    </w:rPr>
  </w:style>
  <w:style w:type="paragraph" w:customStyle="1" w:styleId="220">
    <w:name w:val="正文首行缩进11"/>
    <w:basedOn w:val="221"/>
    <w:qFormat/>
    <w:uiPriority w:val="0"/>
    <w:pPr>
      <w:spacing w:line="360" w:lineRule="auto"/>
      <w:ind w:firstLine="200"/>
    </w:pPr>
    <w:rPr>
      <w:rFonts w:ascii="仿宋_GB2312" w:hAnsi="Times New Roman" w:eastAsia="仿宋_GB2312"/>
      <w:sz w:val="30"/>
      <w:szCs w:val="30"/>
    </w:rPr>
  </w:style>
  <w:style w:type="paragraph" w:customStyle="1" w:styleId="221">
    <w:name w:val="正文文本11"/>
    <w:basedOn w:val="1"/>
    <w:next w:val="1"/>
    <w:qFormat/>
    <w:uiPriority w:val="0"/>
    <w:rPr>
      <w:rFonts w:ascii="楷体_GB2312" w:hAnsi="Arial" w:eastAsia="楷体_GB2312"/>
      <w:sz w:val="28"/>
      <w:szCs w:val="28"/>
      <w:lang w:eastAsia="en-US"/>
    </w:rPr>
  </w:style>
  <w:style w:type="paragraph" w:customStyle="1" w:styleId="222">
    <w:name w:val="标题 31"/>
    <w:basedOn w:val="1"/>
    <w:next w:val="223"/>
    <w:unhideWhenUsed/>
    <w:qFormat/>
    <w:uiPriority w:val="9"/>
    <w:pPr>
      <w:keepNext/>
      <w:keepLines/>
      <w:spacing w:before="320" w:after="200"/>
      <w:outlineLvl w:val="2"/>
    </w:pPr>
    <w:rPr>
      <w:rFonts w:ascii="Arial" w:hAnsi="Arial" w:eastAsia="Arial" w:cs="Arial"/>
      <w:sz w:val="30"/>
      <w:szCs w:val="30"/>
    </w:rPr>
  </w:style>
  <w:style w:type="paragraph" w:customStyle="1" w:styleId="223">
    <w:name w:val="正文缩进11"/>
    <w:basedOn w:val="1"/>
    <w:qFormat/>
    <w:uiPriority w:val="0"/>
    <w:pPr>
      <w:ind w:firstLine="420"/>
    </w:pPr>
    <w:rPr>
      <w:sz w:val="20"/>
    </w:rPr>
  </w:style>
  <w:style w:type="paragraph" w:customStyle="1" w:styleId="224">
    <w:name w:val="正  文"/>
    <w:basedOn w:val="1"/>
    <w:qFormat/>
    <w:uiPriority w:val="0"/>
    <w:pPr>
      <w:spacing w:line="360" w:lineRule="auto"/>
      <w:ind w:firstLine="200"/>
    </w:pPr>
    <w:rPr>
      <w:rFonts w:ascii="Times New Roman" w:hAnsi="Times New Roman" w:eastAsia="宋体" w:cs="Times New Roman"/>
      <w:szCs w:val="21"/>
    </w:rPr>
  </w:style>
  <w:style w:type="paragraph" w:customStyle="1" w:styleId="225">
    <w:name w:val="批注文字1"/>
    <w:basedOn w:val="1"/>
    <w:qFormat/>
    <w:uiPriority w:val="0"/>
    <w:pPr>
      <w:jc w:val="left"/>
    </w:pPr>
  </w:style>
  <w:style w:type="character" w:customStyle="1" w:styleId="226">
    <w:name w:val="font131"/>
    <w:link w:val="1"/>
    <w:qFormat/>
    <w:uiPriority w:val="0"/>
    <w:rPr>
      <w:rFonts w:ascii="Times New Roman" w:hAnsi="Times New Roman" w:cs="Times New Roman"/>
      <w:b/>
      <w:color w:val="000000"/>
      <w:sz w:val="21"/>
      <w:szCs w:val="21"/>
      <w:u w:val="none"/>
    </w:rPr>
  </w:style>
  <w:style w:type="character" w:customStyle="1" w:styleId="227">
    <w:name w:val="font171"/>
    <w:link w:val="1"/>
    <w:qFormat/>
    <w:uiPriority w:val="0"/>
    <w:rPr>
      <w:rFonts w:hint="eastAsia" w:ascii="楷体_GB2312" w:eastAsia="楷体_GB2312" w:cs="楷体_GB2312"/>
      <w:b/>
      <w:color w:val="000000"/>
      <w:sz w:val="21"/>
      <w:szCs w:val="21"/>
      <w:u w:val="none"/>
    </w:rPr>
  </w:style>
  <w:style w:type="character" w:customStyle="1" w:styleId="228">
    <w:name w:val="font121"/>
    <w:link w:val="1"/>
    <w:qFormat/>
    <w:uiPriority w:val="0"/>
    <w:rPr>
      <w:rFonts w:ascii="仿宋_GB2312" w:eastAsia="仿宋_GB2312" w:cs="仿宋_GB2312"/>
      <w:color w:val="000000"/>
      <w:sz w:val="21"/>
      <w:szCs w:val="21"/>
      <w:u w:val="none"/>
    </w:rPr>
  </w:style>
  <w:style w:type="character" w:customStyle="1" w:styleId="229">
    <w:name w:val="font161"/>
    <w:link w:val="1"/>
    <w:qFormat/>
    <w:uiPriority w:val="0"/>
    <w:rPr>
      <w:rFonts w:ascii="Times New Roman" w:hAnsi="Times New Roman" w:cs="Times New Roman"/>
      <w:color w:val="000000"/>
      <w:sz w:val="21"/>
      <w:szCs w:val="21"/>
      <w:u w:val="none"/>
    </w:rPr>
  </w:style>
  <w:style w:type="character" w:customStyle="1" w:styleId="230">
    <w:name w:val="font111"/>
    <w:link w:val="1"/>
    <w:qFormat/>
    <w:uiPriority w:val="0"/>
    <w:rPr>
      <w:rFonts w:hint="eastAsia" w:ascii="仿宋_GB2312" w:eastAsia="仿宋_GB2312" w:cs="仿宋_GB2312"/>
      <w:b/>
      <w:color w:val="000000"/>
      <w:sz w:val="21"/>
      <w:szCs w:val="21"/>
      <w:u w:val="none"/>
    </w:rPr>
  </w:style>
  <w:style w:type="character" w:customStyle="1" w:styleId="231">
    <w:name w:val="font151"/>
    <w:link w:val="1"/>
    <w:qFormat/>
    <w:uiPriority w:val="0"/>
    <w:rPr>
      <w:rFonts w:hint="eastAsia" w:ascii="宋体" w:hAnsi="宋体" w:eastAsia="宋体" w:cs="宋体"/>
      <w:b/>
      <w:color w:val="000000"/>
      <w:sz w:val="21"/>
      <w:szCs w:val="21"/>
      <w:u w:val="none"/>
    </w:rPr>
  </w:style>
  <w:style w:type="character" w:customStyle="1" w:styleId="232">
    <w:name w:val="font101"/>
    <w:link w:val="1"/>
    <w:qFormat/>
    <w:uiPriority w:val="0"/>
    <w:rPr>
      <w:rFonts w:ascii="Times New Roman" w:hAnsi="Times New Roman" w:cs="Times New Roman"/>
      <w:b/>
      <w:color w:val="000000"/>
      <w:sz w:val="28"/>
      <w:szCs w:val="28"/>
      <w:u w:val="none"/>
    </w:rPr>
  </w:style>
  <w:style w:type="character" w:customStyle="1" w:styleId="233">
    <w:name w:val="font141"/>
    <w:link w:val="1"/>
    <w:qFormat/>
    <w:uiPriority w:val="0"/>
    <w:rPr>
      <w:rFonts w:hint="eastAsia" w:ascii="宋体" w:hAnsi="宋体" w:eastAsia="宋体" w:cs="宋体"/>
      <w:b/>
      <w:color w:val="000000"/>
      <w:sz w:val="28"/>
      <w:szCs w:val="28"/>
      <w:u w:val="none"/>
    </w:rPr>
  </w:style>
  <w:style w:type="paragraph" w:customStyle="1" w:styleId="234">
    <w:name w:val="BodyText1"/>
    <w:qFormat/>
    <w:uiPriority w:val="0"/>
    <w:pPr>
      <w:widowControl w:val="0"/>
      <w:spacing w:before="0" w:after="120"/>
      <w:ind w:left="0" w:right="0"/>
      <w:jc w:val="both"/>
    </w:pPr>
    <w:rPr>
      <w:rFonts w:hint="default" w:ascii="Times New Roman" w:hAnsi="Times New Roman" w:eastAsia="宋体" w:cs="Times New Roman"/>
      <w:sz w:val="21"/>
      <w:szCs w:val="24"/>
      <w:lang w:val="en-US" w:eastAsia="zh-CN" w:bidi="ar-SA"/>
    </w:rPr>
  </w:style>
  <w:style w:type="character" w:customStyle="1" w:styleId="235">
    <w:name w:val="font01"/>
    <w:link w:val="1"/>
    <w:qFormat/>
    <w:uiPriority w:val="0"/>
    <w:rPr>
      <w:rFonts w:ascii="font-weight : 400" w:hAnsi="font-weight : 400" w:eastAsia="font-weight : 400" w:cs="font-weight : 400"/>
      <w:color w:val="000000"/>
      <w:sz w:val="22"/>
      <w:szCs w:val="22"/>
      <w:u w:val="none"/>
    </w:rPr>
  </w:style>
  <w:style w:type="paragraph" w:customStyle="1" w:styleId="236">
    <w:name w:val="普通正文"/>
    <w:basedOn w:val="1"/>
    <w:autoRedefine/>
    <w:qFormat/>
    <w:uiPriority w:val="0"/>
    <w:pPr>
      <w:spacing w:before="120" w:after="120" w:line="360" w:lineRule="auto"/>
      <w:ind w:firstLine="480"/>
      <w:jc w:val="left"/>
    </w:pPr>
    <w:rPr>
      <w:rFonts w:ascii="Arial" w:hAnsi="Arial"/>
      <w:sz w:val="24"/>
      <w:lang w:val="en-US" w:eastAsia="en-US"/>
    </w:rPr>
  </w:style>
  <w:style w:type="paragraph" w:customStyle="1" w:styleId="237">
    <w:name w:val="Table Paragraph"/>
    <w:basedOn w:val="1"/>
    <w:qFormat/>
    <w:uiPriority w:val="1"/>
    <w:pPr>
      <w:jc w:val="left"/>
    </w:pPr>
    <w:rPr>
      <w:sz w:val="24"/>
    </w:rPr>
  </w:style>
  <w:style w:type="paragraph" w:customStyle="1" w:styleId="238">
    <w:name w:val="段"/>
    <w:next w:val="1"/>
    <w:qFormat/>
    <w:uiPriority w:val="0"/>
    <w:pPr>
      <w:ind w:firstLine="200"/>
      <w:jc w:val="both"/>
    </w:pPr>
    <w:rPr>
      <w:rFonts w:ascii="宋体" w:hAnsi="Calibri" w:eastAsia="宋体" w:cs="Times New Roman"/>
      <w:sz w:val="21"/>
      <w:lang w:val="en-US" w:eastAsia="zh-CN" w:bidi="ar-SA"/>
    </w:rPr>
  </w:style>
  <w:style w:type="paragraph" w:customStyle="1" w:styleId="239">
    <w:name w:val="Table Text"/>
    <w:basedOn w:val="1"/>
    <w:semiHidden/>
    <w:qFormat/>
    <w:uiPriority w:val="0"/>
    <w:rPr>
      <w:rFonts w:ascii="宋体" w:hAnsi="宋体" w:eastAsia="宋体" w:cs="宋体"/>
      <w:sz w:val="24"/>
      <w:szCs w:val="24"/>
      <w:lang w:val="en-US" w:eastAsia="en-US" w:bidi="ar-SA"/>
    </w:rPr>
  </w:style>
  <w:style w:type="table" w:customStyle="1" w:styleId="24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70</Pages>
  <Words>30117</Words>
  <Characters>31226</Characters>
  <TotalTime>4</TotalTime>
  <ScaleCrop>false</ScaleCrop>
  <LinksUpToDate>false</LinksUpToDate>
  <CharactersWithSpaces>32094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2024-08-14T05:18:00Z</dcterms:created>
  <dc:creator>Adminis</dc:creator>
  <cp:lastModifiedBy>一米阳光</cp:lastModifiedBy>
  <cp:lastPrinted>2026-05-13T03:51:00Z</cp:lastPrinted>
  <dcterms:modified xsi:type="dcterms:W3CDTF">2026-05-20T03:04:36Z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eyJoZGlkIjoiZWIzODc0YmY2NzZhNDIyNTgwMTBlZTllZDhlNDliZjgiLCJ1c2VySWQiOiIxMTUzNzgzODM1In0=</vt:lpwstr>
  </property>
  <property fmtid="{D5CDD505-2E9C-101B-9397-08002B2CF9AE}" pid="3" name="KSOProductBuildVer">
    <vt:lpwstr>2052-12.1.0.26375</vt:lpwstr>
  </property>
  <property fmtid="{D5CDD505-2E9C-101B-9397-08002B2CF9AE}" pid="4" name="ICV">
    <vt:lpwstr>E09E532F54DB414681D2B87284C433D2_13</vt:lpwstr>
  </property>
</Properties>
</file>